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0070A" w14:textId="3309D29D" w:rsidR="004866DA" w:rsidRPr="00D42930" w:rsidRDefault="004866DA" w:rsidP="004866DA">
      <w:pPr>
        <w:rPr>
          <w:b/>
          <w:bCs/>
          <w:sz w:val="24"/>
          <w:szCs w:val="24"/>
        </w:rPr>
      </w:pPr>
      <w:r>
        <w:rPr>
          <w:rFonts w:eastAsia="Calibri"/>
          <w:b/>
          <w:bCs/>
          <w:sz w:val="24"/>
          <w:szCs w:val="24"/>
        </w:rPr>
        <w:t>S</w:t>
      </w:r>
      <w:r w:rsidRPr="00D42930">
        <w:rPr>
          <w:rFonts w:eastAsia="Calibri"/>
          <w:b/>
          <w:bCs/>
          <w:sz w:val="24"/>
          <w:szCs w:val="24"/>
        </w:rPr>
        <w:t>urvey of Alumni</w:t>
      </w:r>
      <w:r w:rsidRPr="00D42930">
        <w:rPr>
          <w:rFonts w:eastAsia="Calibri"/>
          <w:b/>
          <w:bCs/>
          <w:color w:val="0070C0"/>
          <w:sz w:val="24"/>
          <w:szCs w:val="24"/>
        </w:rPr>
        <w:t xml:space="preserve"> </w:t>
      </w:r>
      <w:r w:rsidRPr="00D42930">
        <w:rPr>
          <w:rFonts w:eastAsia="Calibri"/>
          <w:b/>
          <w:bCs/>
          <w:sz w:val="24"/>
          <w:szCs w:val="24"/>
        </w:rPr>
        <w:t>2022</w:t>
      </w:r>
    </w:p>
    <w:p w14:paraId="73FB0D15" w14:textId="77777777" w:rsidR="004866DA" w:rsidRPr="00D42930" w:rsidRDefault="004866DA" w:rsidP="004866DA">
      <w:pPr>
        <w:rPr>
          <w:sz w:val="24"/>
          <w:szCs w:val="24"/>
        </w:rPr>
      </w:pPr>
    </w:p>
    <w:p w14:paraId="0131C19D" w14:textId="77777777" w:rsidR="004866DA" w:rsidRPr="00D42930" w:rsidRDefault="004866DA" w:rsidP="004866DA">
      <w:pPr>
        <w:rPr>
          <w:rFonts w:eastAsia="Times New Roman"/>
          <w:b/>
          <w:bCs/>
          <w:i/>
          <w:iCs/>
          <w:sz w:val="24"/>
          <w:szCs w:val="24"/>
          <w:u w:val="single"/>
        </w:rPr>
      </w:pPr>
      <w:r w:rsidRPr="00D42930">
        <w:rPr>
          <w:rFonts w:eastAsia="Times New Roman"/>
          <w:b/>
          <w:bCs/>
          <w:i/>
          <w:iCs/>
          <w:sz w:val="24"/>
          <w:szCs w:val="24"/>
          <w:u w:val="single"/>
        </w:rPr>
        <w:t>The Survey:</w:t>
      </w:r>
    </w:p>
    <w:p w14:paraId="6CDD558F" w14:textId="77777777" w:rsidR="004866DA" w:rsidRPr="00D42930" w:rsidRDefault="004866DA" w:rsidP="004866DA">
      <w:pPr>
        <w:rPr>
          <w:rFonts w:eastAsia="Times New Roman"/>
          <w:sz w:val="24"/>
          <w:szCs w:val="24"/>
        </w:rPr>
      </w:pPr>
      <w:r w:rsidRPr="00D42930">
        <w:rPr>
          <w:rFonts w:eastAsia="Times New Roman"/>
          <w:sz w:val="24"/>
          <w:szCs w:val="24"/>
        </w:rPr>
        <w:t>EKU faculty conducted a survey of alumni as part of their ongoing effort to evaluate EKU’s counseling program. This survey was constructed with the aim to gather information about EKU alumni’s current employment setting, demographic data, perception of professional preparedness, and evaluation of program strengths and growth areas.</w:t>
      </w:r>
    </w:p>
    <w:p w14:paraId="022851A1" w14:textId="77777777" w:rsidR="004866DA" w:rsidRPr="00D42930" w:rsidRDefault="004866DA" w:rsidP="004866DA">
      <w:pPr>
        <w:rPr>
          <w:rFonts w:eastAsia="Times New Roman"/>
          <w:sz w:val="24"/>
          <w:szCs w:val="24"/>
        </w:rPr>
      </w:pPr>
    </w:p>
    <w:p w14:paraId="5FD0441C" w14:textId="77777777" w:rsidR="004866DA" w:rsidRPr="00D42930" w:rsidRDefault="004866DA" w:rsidP="004866DA">
      <w:pPr>
        <w:rPr>
          <w:rFonts w:eastAsia="Times New Roman"/>
          <w:sz w:val="24"/>
          <w:szCs w:val="24"/>
        </w:rPr>
      </w:pPr>
      <w:r w:rsidRPr="00D42930">
        <w:rPr>
          <w:rFonts w:eastAsia="Times New Roman"/>
          <w:sz w:val="24"/>
          <w:szCs w:val="24"/>
        </w:rPr>
        <w:t xml:space="preserve">The alumni survey contained 25 questions. Fourteen were multiple choices questions related to demographics, organization membership, supervision training/experience post-graduation, and specialization. There were five form questions which asked for information on previous job and current employment, program strengths and growth areas, and year of graduation. Three were multiple answer questions related to level of licensure, reasons for applying to EKU, and the demographics of the client population they currently serve. Finally, one question consisted of multiple statements regarding level of preparedness experienced by alumni across each of the eight core areas of CACREP’s curriculum. Their responses were anchored by a 5-point Likert scale where 1 was </w:t>
      </w:r>
      <w:r w:rsidRPr="00D42930">
        <w:rPr>
          <w:rFonts w:eastAsia="Times New Roman"/>
          <w:i/>
          <w:iCs/>
          <w:sz w:val="24"/>
          <w:szCs w:val="24"/>
        </w:rPr>
        <w:t>Strongly Agree</w:t>
      </w:r>
      <w:r w:rsidRPr="00D42930">
        <w:rPr>
          <w:rFonts w:eastAsia="Times New Roman"/>
          <w:sz w:val="24"/>
          <w:szCs w:val="24"/>
        </w:rPr>
        <w:t xml:space="preserve"> and 5 was </w:t>
      </w:r>
      <w:r w:rsidRPr="00D42930">
        <w:rPr>
          <w:rFonts w:eastAsia="Times New Roman"/>
          <w:i/>
          <w:iCs/>
          <w:sz w:val="24"/>
          <w:szCs w:val="24"/>
        </w:rPr>
        <w:t>Strongly Disagree</w:t>
      </w:r>
      <w:r w:rsidRPr="00D42930">
        <w:rPr>
          <w:rFonts w:eastAsia="Times New Roman"/>
          <w:sz w:val="24"/>
          <w:szCs w:val="24"/>
        </w:rPr>
        <w:t>.</w:t>
      </w:r>
    </w:p>
    <w:p w14:paraId="53D1CFF9" w14:textId="77777777" w:rsidR="004866DA" w:rsidRPr="00D42930" w:rsidRDefault="004866DA" w:rsidP="004866DA">
      <w:pPr>
        <w:rPr>
          <w:rFonts w:eastAsia="Times New Roman"/>
          <w:sz w:val="24"/>
          <w:szCs w:val="24"/>
        </w:rPr>
      </w:pPr>
    </w:p>
    <w:p w14:paraId="33246038" w14:textId="77777777" w:rsidR="004866DA" w:rsidRPr="00D42930" w:rsidRDefault="004866DA" w:rsidP="004866DA">
      <w:pPr>
        <w:rPr>
          <w:rFonts w:eastAsia="Times New Roman"/>
          <w:b/>
          <w:bCs/>
          <w:i/>
          <w:iCs/>
          <w:sz w:val="24"/>
          <w:szCs w:val="24"/>
          <w:u w:val="single"/>
        </w:rPr>
      </w:pPr>
      <w:r w:rsidRPr="00D42930">
        <w:rPr>
          <w:rFonts w:eastAsia="Times New Roman"/>
          <w:b/>
          <w:bCs/>
          <w:i/>
          <w:iCs/>
          <w:sz w:val="24"/>
          <w:szCs w:val="24"/>
          <w:u w:val="single"/>
        </w:rPr>
        <w:t>The Respondent Sample:</w:t>
      </w:r>
    </w:p>
    <w:p w14:paraId="158C193E" w14:textId="77777777" w:rsidR="004866DA" w:rsidRPr="00D42930" w:rsidRDefault="004866DA" w:rsidP="004866DA">
      <w:pPr>
        <w:rPr>
          <w:rFonts w:eastAsia="Times New Roman"/>
          <w:sz w:val="24"/>
          <w:szCs w:val="24"/>
        </w:rPr>
      </w:pPr>
      <w:r w:rsidRPr="00D42930">
        <w:rPr>
          <w:rFonts w:eastAsia="Times New Roman"/>
          <w:sz w:val="24"/>
          <w:szCs w:val="24"/>
        </w:rPr>
        <w:t>A total of 27 respondents opened the survey to complete it but only 12 completed most of it. Of the 12 that filled out the survey, all were currently working full-time and two had graduated prior to 2019. The remaining 10 respondents were recent graduates (2019, or later).</w:t>
      </w:r>
    </w:p>
    <w:p w14:paraId="3AB10B48" w14:textId="77777777" w:rsidR="004866DA" w:rsidRPr="00D42930" w:rsidRDefault="004866DA" w:rsidP="004866DA">
      <w:pPr>
        <w:rPr>
          <w:rFonts w:eastAsia="Times New Roman"/>
          <w:sz w:val="24"/>
          <w:szCs w:val="24"/>
        </w:rPr>
      </w:pPr>
    </w:p>
    <w:p w14:paraId="350AA5FE" w14:textId="77777777" w:rsidR="004866DA" w:rsidRPr="00D42930" w:rsidRDefault="004866DA" w:rsidP="004866DA">
      <w:pPr>
        <w:rPr>
          <w:rFonts w:eastAsia="Times New Roman"/>
          <w:b/>
          <w:bCs/>
          <w:i/>
          <w:iCs/>
          <w:sz w:val="24"/>
          <w:szCs w:val="24"/>
          <w:u w:val="single"/>
        </w:rPr>
      </w:pPr>
      <w:r w:rsidRPr="00D42930">
        <w:rPr>
          <w:rFonts w:eastAsia="Times New Roman"/>
          <w:b/>
          <w:bCs/>
          <w:i/>
          <w:iCs/>
          <w:sz w:val="24"/>
          <w:szCs w:val="24"/>
          <w:u w:val="single"/>
        </w:rPr>
        <w:t>Results and Meaningful Changes:</w:t>
      </w:r>
      <w:r w:rsidRPr="00D42930">
        <w:rPr>
          <w:rFonts w:ascii="Calibri" w:eastAsia="Calibri" w:hAnsi="Calibri"/>
          <w:i/>
          <w:iCs/>
          <w:sz w:val="24"/>
          <w:szCs w:val="24"/>
          <w:u w:val="single"/>
        </w:rPr>
        <w:t xml:space="preserve"> </w:t>
      </w:r>
    </w:p>
    <w:p w14:paraId="748EDD22" w14:textId="77777777" w:rsidR="004866DA" w:rsidRPr="00D42930" w:rsidRDefault="004866DA" w:rsidP="004866DA">
      <w:pPr>
        <w:rPr>
          <w:rFonts w:eastAsia="Calibri"/>
          <w:sz w:val="24"/>
          <w:szCs w:val="24"/>
        </w:rPr>
      </w:pPr>
      <w:r w:rsidRPr="00D42930">
        <w:rPr>
          <w:rFonts w:eastAsia="Calibri"/>
          <w:sz w:val="24"/>
          <w:szCs w:val="24"/>
        </w:rPr>
        <w:t>All the alumni except for one were found to work full time in the state of Kentucky and more than half of respondents work in public settings. These results indicate EKU counseling programs strongly support regional mental health services and support EKU’s mission to provide community service to the Appalachian region of Kentucky. Additionally, most respondents identified that they work at small town, rural, and Appalachian areas (76.2%) to support regional and potentially underserved areas, which again is consistent with our institutional mission. Survey results also indicated that the client populations served by our graduates are mostly families with incomes more than 40% below the community average (54.4%). The age range of responding alumni upon graduation was 25-44. Demographically, most of the respondents were White (73%) followed by African American (18%) and females (90%). We are aware of the need to bring more diversity to our student population and are taking active action to address this by attending career fairs and local college and university events. The salary range of alumni was from 40K-49K to 90K-99K. Nearly half (45%) of respondents’ salaries was mid-50 K, which is consistent with state household income of 50K. The average salary was 6.64K, which strongly suggests that EKU alumni hold positions that economically benefit them. The primary reasons that alumni chose EKU’s counseling program were its CACREP Accreditation and geographical proximity (45.5%). In relation to the CACREP eight core areas, most alumni strongly agreed or agreed that EKU counseling programs prepared them more than average. Their response is consistent with the fact that there is a 100% pass rate on the national CPCE for our graduates.</w:t>
      </w:r>
    </w:p>
    <w:p w14:paraId="27C655B8" w14:textId="77777777" w:rsidR="004866DA" w:rsidRPr="00D42930" w:rsidRDefault="004866DA" w:rsidP="004866DA">
      <w:pPr>
        <w:jc w:val="center"/>
        <w:rPr>
          <w:rFonts w:eastAsia="Calibri"/>
          <w:b/>
          <w:bCs/>
          <w:sz w:val="24"/>
          <w:szCs w:val="24"/>
        </w:rPr>
      </w:pPr>
    </w:p>
    <w:p w14:paraId="7ED32AC3" w14:textId="77777777" w:rsidR="004866DA" w:rsidRPr="00D42930" w:rsidRDefault="004866DA" w:rsidP="004866DA">
      <w:pPr>
        <w:rPr>
          <w:rFonts w:eastAsia="Calibri"/>
          <w:b/>
          <w:bCs/>
          <w:sz w:val="24"/>
          <w:szCs w:val="24"/>
          <w:u w:val="single"/>
        </w:rPr>
      </w:pPr>
      <w:r w:rsidRPr="00D42930">
        <w:rPr>
          <w:rFonts w:eastAsia="Calibri"/>
          <w:b/>
          <w:bCs/>
          <w:sz w:val="24"/>
          <w:szCs w:val="24"/>
          <w:u w:val="single"/>
        </w:rPr>
        <w:t xml:space="preserve">Survey Results </w:t>
      </w:r>
      <w:r w:rsidRPr="00D42930">
        <w:rPr>
          <w:rFonts w:eastAsia="Calibri"/>
          <w:i/>
          <w:iCs/>
          <w:sz w:val="24"/>
          <w:szCs w:val="24"/>
          <w:u w:val="single"/>
        </w:rPr>
        <w:t xml:space="preserve">(See attached document for full report, appendix </w:t>
      </w:r>
      <w:r w:rsidRPr="003026F0">
        <w:rPr>
          <w:rFonts w:eastAsia="Calibri"/>
          <w:i/>
          <w:iCs/>
          <w:color w:val="FF0000"/>
          <w:sz w:val="24"/>
          <w:szCs w:val="24"/>
          <w:u w:val="single"/>
        </w:rPr>
        <w:t>F</w:t>
      </w:r>
      <w:r w:rsidRPr="00D42930">
        <w:rPr>
          <w:rFonts w:eastAsia="Calibri"/>
          <w:i/>
          <w:iCs/>
          <w:sz w:val="24"/>
          <w:szCs w:val="24"/>
          <w:u w:val="single"/>
        </w:rPr>
        <w:t>).</w:t>
      </w:r>
    </w:p>
    <w:p w14:paraId="061C8084" w14:textId="77777777" w:rsidR="004866DA" w:rsidRPr="00D42930" w:rsidRDefault="004866DA" w:rsidP="004866DA">
      <w:pPr>
        <w:rPr>
          <w:rFonts w:eastAsia="Calibri"/>
          <w:sz w:val="24"/>
          <w:szCs w:val="24"/>
        </w:rPr>
      </w:pPr>
      <w:r w:rsidRPr="00D42930">
        <w:rPr>
          <w:rFonts w:eastAsia="Calibri"/>
          <w:b/>
          <w:bCs/>
          <w:sz w:val="24"/>
          <w:szCs w:val="24"/>
        </w:rPr>
        <w:t>N</w:t>
      </w:r>
      <w:r w:rsidRPr="00D42930">
        <w:rPr>
          <w:rFonts w:eastAsia="Calibri"/>
          <w:sz w:val="24"/>
          <w:szCs w:val="24"/>
        </w:rPr>
        <w:t xml:space="preserve"> = 12; opened by not completed = 15</w:t>
      </w:r>
    </w:p>
    <w:p w14:paraId="0E7AFD3B" w14:textId="77777777" w:rsidR="004866DA" w:rsidRPr="00D42930" w:rsidRDefault="004866DA" w:rsidP="004866DA">
      <w:pPr>
        <w:rPr>
          <w:rFonts w:eastAsia="Calibri"/>
          <w:sz w:val="24"/>
          <w:szCs w:val="24"/>
        </w:rPr>
      </w:pPr>
    </w:p>
    <w:p w14:paraId="1F517988" w14:textId="77777777" w:rsidR="004866DA" w:rsidRPr="00D42930" w:rsidRDefault="004866DA" w:rsidP="004866DA">
      <w:pPr>
        <w:rPr>
          <w:rFonts w:eastAsia="Calibri"/>
          <w:b/>
          <w:bCs/>
          <w:sz w:val="24"/>
          <w:szCs w:val="24"/>
        </w:rPr>
      </w:pPr>
      <w:r w:rsidRPr="00D42930">
        <w:rPr>
          <w:rFonts w:eastAsia="Calibri"/>
          <w:b/>
          <w:bCs/>
          <w:sz w:val="24"/>
          <w:szCs w:val="24"/>
        </w:rPr>
        <w:t>Q2. Employment Information</w:t>
      </w:r>
    </w:p>
    <w:p w14:paraId="13B0199F" w14:textId="77777777" w:rsidR="004866DA" w:rsidRPr="00D42930" w:rsidRDefault="004866DA" w:rsidP="004866DA">
      <w:pPr>
        <w:rPr>
          <w:rFonts w:eastAsia="Calibri"/>
          <w:sz w:val="24"/>
          <w:szCs w:val="24"/>
        </w:rPr>
      </w:pPr>
      <w:r w:rsidRPr="00D42930">
        <w:rPr>
          <w:rFonts w:eastAsia="Calibri"/>
          <w:sz w:val="24"/>
          <w:szCs w:val="24"/>
        </w:rPr>
        <w:t>Working in Kentucky: 11 Working in Connecticut: 1</w:t>
      </w:r>
    </w:p>
    <w:p w14:paraId="65D3999D" w14:textId="77777777" w:rsidR="004866DA" w:rsidRPr="00D42930" w:rsidRDefault="004866DA" w:rsidP="004866DA">
      <w:pPr>
        <w:rPr>
          <w:rFonts w:eastAsia="Calibri"/>
          <w:b/>
          <w:bCs/>
          <w:sz w:val="24"/>
          <w:szCs w:val="24"/>
        </w:rPr>
      </w:pPr>
    </w:p>
    <w:p w14:paraId="01B9065D"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 xml:space="preserve">Q4: </w:t>
      </w:r>
      <w:r w:rsidRPr="00D42930">
        <w:rPr>
          <w:rFonts w:eastAsia="Times New Roman"/>
          <w:b/>
          <w:bCs/>
          <w:sz w:val="24"/>
          <w:szCs w:val="24"/>
          <w:shd w:val="clear" w:color="auto" w:fill="FFFFFF"/>
        </w:rPr>
        <w:t>Type of Employment?</w:t>
      </w:r>
    </w:p>
    <w:p w14:paraId="3235C799" w14:textId="77777777" w:rsidR="004866DA" w:rsidRPr="00D42930" w:rsidRDefault="004866DA" w:rsidP="004866DA">
      <w:pPr>
        <w:rPr>
          <w:rFonts w:eastAsia="Times New Roman"/>
          <w:sz w:val="24"/>
          <w:szCs w:val="24"/>
        </w:rPr>
      </w:pPr>
      <w:r w:rsidRPr="00D42930">
        <w:rPr>
          <w:rFonts w:eastAsia="Times New Roman"/>
          <w:sz w:val="24"/>
          <w:szCs w:val="24"/>
          <w:shd w:val="clear" w:color="auto" w:fill="FFFFFF"/>
        </w:rPr>
        <w:t>Full time = 12; Part time = 0</w:t>
      </w:r>
    </w:p>
    <w:p w14:paraId="5436F9B2" w14:textId="77777777" w:rsidR="004866DA" w:rsidRPr="00D42930" w:rsidRDefault="004866DA" w:rsidP="004866DA">
      <w:pPr>
        <w:rPr>
          <w:rFonts w:eastAsia="Calibri"/>
          <w:b/>
          <w:bCs/>
          <w:sz w:val="24"/>
          <w:szCs w:val="24"/>
        </w:rPr>
      </w:pPr>
    </w:p>
    <w:p w14:paraId="5C160C96"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Q5:</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Type of work setting?</w:t>
      </w:r>
    </w:p>
    <w:p w14:paraId="54EDB80C" w14:textId="77777777" w:rsidR="004866DA" w:rsidRPr="00D42930" w:rsidRDefault="004866DA" w:rsidP="004866DA">
      <w:pPr>
        <w:rPr>
          <w:rFonts w:eastAsia="Times New Roman"/>
          <w:sz w:val="24"/>
          <w:szCs w:val="24"/>
          <w:shd w:val="clear" w:color="auto" w:fill="FFFFFF"/>
        </w:rPr>
      </w:pPr>
      <w:r w:rsidRPr="00D42930">
        <w:rPr>
          <w:rFonts w:eastAsia="Times New Roman"/>
          <w:sz w:val="24"/>
          <w:szCs w:val="24"/>
          <w:shd w:val="clear" w:color="auto" w:fill="FFFFFF"/>
        </w:rPr>
        <w:t>Public = 7; Private = 5; Governmental = 0</w:t>
      </w:r>
    </w:p>
    <w:p w14:paraId="3EBA913B" w14:textId="77777777" w:rsidR="004866DA" w:rsidRPr="00D42930" w:rsidRDefault="004866DA" w:rsidP="004866DA">
      <w:pPr>
        <w:rPr>
          <w:rFonts w:eastAsia="Times New Roman"/>
          <w:sz w:val="24"/>
          <w:szCs w:val="24"/>
          <w:shd w:val="clear" w:color="auto" w:fill="FFFFFF"/>
        </w:rPr>
      </w:pPr>
    </w:p>
    <w:p w14:paraId="16625B5A" w14:textId="77777777" w:rsidR="004866DA" w:rsidRPr="00D42930" w:rsidRDefault="004866DA" w:rsidP="004866DA">
      <w:pPr>
        <w:rPr>
          <w:rFonts w:eastAsia="Times New Roman"/>
          <w:b/>
          <w:bCs/>
          <w:sz w:val="24"/>
          <w:szCs w:val="24"/>
          <w:shd w:val="clear" w:color="auto" w:fill="FFFFFF"/>
        </w:rPr>
      </w:pPr>
      <w:r w:rsidRPr="00D42930">
        <w:rPr>
          <w:rFonts w:eastAsia="Times New Roman"/>
          <w:b/>
          <w:bCs/>
          <w:sz w:val="24"/>
          <w:szCs w:val="24"/>
          <w:shd w:val="clear" w:color="auto" w:fill="FFFFFF"/>
        </w:rPr>
        <w:t>Q6: Year of graduation?</w:t>
      </w:r>
    </w:p>
    <w:p w14:paraId="56575A25" w14:textId="77777777" w:rsidR="004866DA" w:rsidRPr="00D42930" w:rsidRDefault="004866DA" w:rsidP="004866DA">
      <w:pPr>
        <w:rPr>
          <w:rFonts w:eastAsia="Times New Roman"/>
          <w:sz w:val="24"/>
          <w:szCs w:val="24"/>
        </w:rPr>
      </w:pPr>
      <w:r w:rsidRPr="00D42930">
        <w:rPr>
          <w:rFonts w:eastAsia="Times New Roman"/>
          <w:sz w:val="24"/>
          <w:szCs w:val="24"/>
        </w:rPr>
        <w:t>1996-2021</w:t>
      </w:r>
    </w:p>
    <w:p w14:paraId="702A1E19" w14:textId="77777777" w:rsidR="004866DA" w:rsidRPr="00D42930" w:rsidRDefault="004866DA" w:rsidP="004866DA">
      <w:pPr>
        <w:rPr>
          <w:rFonts w:eastAsia="Calibri"/>
          <w:b/>
          <w:bCs/>
          <w:sz w:val="24"/>
          <w:szCs w:val="24"/>
        </w:rPr>
      </w:pPr>
    </w:p>
    <w:p w14:paraId="1AD18B10"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Q8:</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What age were you upon graduation from the counseling program?</w:t>
      </w:r>
    </w:p>
    <w:p w14:paraId="73D0A087" w14:textId="77777777" w:rsidR="004866DA" w:rsidRPr="00D42930" w:rsidRDefault="004866DA" w:rsidP="004866DA">
      <w:pPr>
        <w:rPr>
          <w:rFonts w:eastAsia="Calibri"/>
          <w:sz w:val="24"/>
          <w:szCs w:val="24"/>
        </w:rPr>
      </w:pPr>
      <w:r w:rsidRPr="00D42930">
        <w:rPr>
          <w:rFonts w:eastAsia="Calibri"/>
          <w:sz w:val="24"/>
          <w:szCs w:val="24"/>
        </w:rPr>
        <w:t>20-24 = 2; 25-34 = 6; 35-44 = 3; 45-54 = 0; 54-64 = 0; 65-74 = 0</w:t>
      </w:r>
    </w:p>
    <w:p w14:paraId="25AB5255" w14:textId="77777777" w:rsidR="004866DA" w:rsidRPr="00D42930" w:rsidRDefault="004866DA" w:rsidP="004866DA">
      <w:pPr>
        <w:rPr>
          <w:rFonts w:eastAsia="Calibri"/>
          <w:b/>
          <w:bCs/>
          <w:sz w:val="24"/>
          <w:szCs w:val="24"/>
        </w:rPr>
      </w:pPr>
    </w:p>
    <w:p w14:paraId="388240F3"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Q9:</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What was your area of counseling specialization in Counselor Education?</w:t>
      </w:r>
    </w:p>
    <w:p w14:paraId="78027B59" w14:textId="77777777" w:rsidR="004866DA" w:rsidRPr="00D42930" w:rsidRDefault="004866DA" w:rsidP="004866DA">
      <w:pPr>
        <w:rPr>
          <w:rFonts w:eastAsia="Times New Roman"/>
          <w:sz w:val="24"/>
          <w:szCs w:val="24"/>
          <w:shd w:val="clear" w:color="auto" w:fill="FFFFFF"/>
        </w:rPr>
      </w:pPr>
      <w:r w:rsidRPr="00D42930">
        <w:rPr>
          <w:rFonts w:eastAsia="Times New Roman"/>
          <w:sz w:val="24"/>
          <w:szCs w:val="24"/>
          <w:shd w:val="clear" w:color="auto" w:fill="FFFFFF"/>
        </w:rPr>
        <w:t>Clinical Mental Health Counseling = 9; K-12 School Counseling = 2</w:t>
      </w:r>
    </w:p>
    <w:p w14:paraId="1242F3B4" w14:textId="77777777" w:rsidR="004866DA" w:rsidRPr="00D42930" w:rsidRDefault="004866DA" w:rsidP="004866DA">
      <w:pPr>
        <w:rPr>
          <w:rFonts w:eastAsia="Times New Roman"/>
          <w:sz w:val="24"/>
          <w:szCs w:val="24"/>
          <w:shd w:val="clear" w:color="auto" w:fill="FFFFFF"/>
        </w:rPr>
      </w:pPr>
    </w:p>
    <w:p w14:paraId="2D8C094C"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Q10:</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What is your current salary?</w:t>
      </w:r>
    </w:p>
    <w:p w14:paraId="704D7855" w14:textId="77777777" w:rsidR="004866DA" w:rsidRPr="00D42930" w:rsidRDefault="004866DA" w:rsidP="004866DA">
      <w:pPr>
        <w:rPr>
          <w:rFonts w:eastAsia="Times New Roman"/>
          <w:sz w:val="24"/>
          <w:szCs w:val="24"/>
          <w:shd w:val="clear" w:color="auto" w:fill="FFFFFF"/>
        </w:rPr>
      </w:pPr>
      <w:r w:rsidRPr="00D42930">
        <w:rPr>
          <w:rFonts w:eastAsia="Times New Roman"/>
          <w:sz w:val="24"/>
          <w:szCs w:val="24"/>
          <w:shd w:val="clear" w:color="auto" w:fill="FFFFFF"/>
        </w:rPr>
        <w:t>0-9,999 = 0; 10,000-19,999 = 0; 20,000-29,999 = 0; 30,000-39,999 = 0; 40,000-49,999 = 2; 50,000-59,999 = 5; 60,000-69,999 = 1; 70,000-79,999 = 2; 80,000-89,000 = 0; 90,000-99,000 = 1; &gt;100,000 = 0</w:t>
      </w:r>
    </w:p>
    <w:tbl>
      <w:tblPr>
        <w:tblW w:w="8691" w:type="dxa"/>
        <w:tblInd w:w="8" w:type="dxa"/>
        <w:tblCellMar>
          <w:left w:w="0" w:type="dxa"/>
          <w:right w:w="0" w:type="dxa"/>
        </w:tblCellMar>
        <w:tblLook w:val="0420" w:firstRow="1" w:lastRow="0" w:firstColumn="0" w:lastColumn="0" w:noHBand="0" w:noVBand="1"/>
      </w:tblPr>
      <w:tblGrid>
        <w:gridCol w:w="1236"/>
        <w:gridCol w:w="1240"/>
        <w:gridCol w:w="1266"/>
        <w:gridCol w:w="1235"/>
        <w:gridCol w:w="1239"/>
        <w:gridCol w:w="1239"/>
        <w:gridCol w:w="1236"/>
      </w:tblGrid>
      <w:tr w:rsidR="004866DA" w:rsidRPr="0071098A" w14:paraId="5DF04811" w14:textId="77777777" w:rsidTr="00D05C52">
        <w:trPr>
          <w:trHeight w:val="457"/>
        </w:trPr>
        <w:tc>
          <w:tcPr>
            <w:tcW w:w="1236"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670E38E8" w14:textId="77777777" w:rsidR="004866DA" w:rsidRPr="0071098A" w:rsidRDefault="004866DA" w:rsidP="00D05C52">
            <w:pPr>
              <w:rPr>
                <w:rFonts w:eastAsia="Times New Roman"/>
                <w:sz w:val="22"/>
                <w:szCs w:val="22"/>
              </w:rPr>
            </w:pPr>
            <w:r w:rsidRPr="0071098A">
              <w:rPr>
                <w:rFonts w:eastAsia="Times New Roman"/>
                <w:b/>
                <w:bCs/>
                <w:sz w:val="22"/>
                <w:szCs w:val="22"/>
              </w:rPr>
              <w:t>Field</w:t>
            </w:r>
          </w:p>
        </w:tc>
        <w:tc>
          <w:tcPr>
            <w:tcW w:w="1240"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27AA0901" w14:textId="77777777" w:rsidR="004866DA" w:rsidRPr="0071098A" w:rsidRDefault="004866DA" w:rsidP="00D05C52">
            <w:pPr>
              <w:rPr>
                <w:rFonts w:eastAsia="Times New Roman"/>
                <w:sz w:val="22"/>
                <w:szCs w:val="22"/>
              </w:rPr>
            </w:pPr>
            <w:r w:rsidRPr="0071098A">
              <w:rPr>
                <w:rFonts w:eastAsia="Times New Roman"/>
                <w:b/>
                <w:bCs/>
                <w:sz w:val="22"/>
                <w:szCs w:val="22"/>
              </w:rPr>
              <w:t>Minimum</w:t>
            </w:r>
          </w:p>
        </w:tc>
        <w:tc>
          <w:tcPr>
            <w:tcW w:w="1266"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41283458" w14:textId="77777777" w:rsidR="004866DA" w:rsidRPr="0071098A" w:rsidRDefault="004866DA" w:rsidP="00D05C52">
            <w:pPr>
              <w:rPr>
                <w:rFonts w:eastAsia="Times New Roman"/>
                <w:sz w:val="22"/>
                <w:szCs w:val="22"/>
              </w:rPr>
            </w:pPr>
            <w:r w:rsidRPr="0071098A">
              <w:rPr>
                <w:rFonts w:eastAsia="Times New Roman"/>
                <w:b/>
                <w:bCs/>
                <w:sz w:val="22"/>
                <w:szCs w:val="22"/>
              </w:rPr>
              <w:t>Maximum</w:t>
            </w:r>
          </w:p>
        </w:tc>
        <w:tc>
          <w:tcPr>
            <w:tcW w:w="1235"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3E6CEAA9" w14:textId="77777777" w:rsidR="004866DA" w:rsidRPr="0071098A" w:rsidRDefault="004866DA" w:rsidP="00D05C52">
            <w:pPr>
              <w:rPr>
                <w:rFonts w:eastAsia="Times New Roman"/>
                <w:sz w:val="22"/>
                <w:szCs w:val="22"/>
              </w:rPr>
            </w:pPr>
            <w:r w:rsidRPr="0071098A">
              <w:rPr>
                <w:rFonts w:eastAsia="Times New Roman"/>
                <w:b/>
                <w:bCs/>
                <w:sz w:val="22"/>
                <w:szCs w:val="22"/>
              </w:rPr>
              <w:t>Mean</w:t>
            </w:r>
          </w:p>
        </w:tc>
        <w:tc>
          <w:tcPr>
            <w:tcW w:w="1239"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7373354D" w14:textId="77777777" w:rsidR="004866DA" w:rsidRPr="0071098A" w:rsidRDefault="004866DA" w:rsidP="00D05C52">
            <w:pPr>
              <w:rPr>
                <w:rFonts w:eastAsia="Times New Roman"/>
                <w:sz w:val="22"/>
                <w:szCs w:val="22"/>
              </w:rPr>
            </w:pPr>
            <w:r w:rsidRPr="0071098A">
              <w:rPr>
                <w:rFonts w:eastAsia="Times New Roman"/>
                <w:b/>
                <w:bCs/>
                <w:sz w:val="22"/>
                <w:szCs w:val="22"/>
              </w:rPr>
              <w:t>Std Deviation</w:t>
            </w:r>
          </w:p>
        </w:tc>
        <w:tc>
          <w:tcPr>
            <w:tcW w:w="1239" w:type="dxa"/>
            <w:tcBorders>
              <w:top w:val="single" w:sz="6" w:space="0" w:color="4A7EBB"/>
              <w:left w:val="nil"/>
              <w:bottom w:val="single" w:sz="6" w:space="0" w:color="4A7EBB"/>
              <w:right w:val="nil"/>
            </w:tcBorders>
            <w:shd w:val="clear" w:color="auto" w:fill="4F81BD"/>
            <w:tcMar>
              <w:top w:w="72" w:type="dxa"/>
              <w:left w:w="144" w:type="dxa"/>
              <w:bottom w:w="72" w:type="dxa"/>
              <w:right w:w="144" w:type="dxa"/>
            </w:tcMar>
            <w:hideMark/>
          </w:tcPr>
          <w:p w14:paraId="25D0B7FF" w14:textId="77777777" w:rsidR="004866DA" w:rsidRPr="0071098A" w:rsidRDefault="004866DA" w:rsidP="00D05C52">
            <w:pPr>
              <w:rPr>
                <w:rFonts w:eastAsia="Times New Roman"/>
                <w:sz w:val="22"/>
                <w:szCs w:val="22"/>
              </w:rPr>
            </w:pPr>
            <w:r w:rsidRPr="0071098A">
              <w:rPr>
                <w:rFonts w:eastAsia="Times New Roman"/>
                <w:b/>
                <w:bCs/>
                <w:sz w:val="22"/>
                <w:szCs w:val="22"/>
              </w:rPr>
              <w:t>Variance</w:t>
            </w:r>
          </w:p>
        </w:tc>
        <w:tc>
          <w:tcPr>
            <w:tcW w:w="1236" w:type="dxa"/>
            <w:tcBorders>
              <w:top w:val="single" w:sz="6" w:space="0" w:color="4A7EBB"/>
              <w:left w:val="nil"/>
              <w:bottom w:val="single" w:sz="6" w:space="0" w:color="4A7EBB"/>
              <w:right w:val="single" w:sz="6" w:space="0" w:color="4A7EBB"/>
            </w:tcBorders>
            <w:shd w:val="clear" w:color="auto" w:fill="4F81BD"/>
            <w:tcMar>
              <w:top w:w="72" w:type="dxa"/>
              <w:left w:w="144" w:type="dxa"/>
              <w:bottom w:w="72" w:type="dxa"/>
              <w:right w:w="144" w:type="dxa"/>
            </w:tcMar>
            <w:hideMark/>
          </w:tcPr>
          <w:p w14:paraId="532F7033" w14:textId="77777777" w:rsidR="004866DA" w:rsidRPr="0071098A" w:rsidRDefault="004866DA" w:rsidP="00D05C52">
            <w:pPr>
              <w:rPr>
                <w:rFonts w:eastAsia="Times New Roman"/>
                <w:sz w:val="22"/>
                <w:szCs w:val="22"/>
              </w:rPr>
            </w:pPr>
            <w:r w:rsidRPr="0071098A">
              <w:rPr>
                <w:rFonts w:eastAsia="Times New Roman"/>
                <w:b/>
                <w:bCs/>
                <w:sz w:val="22"/>
                <w:szCs w:val="22"/>
              </w:rPr>
              <w:t>Count</w:t>
            </w:r>
          </w:p>
        </w:tc>
      </w:tr>
      <w:tr w:rsidR="004866DA" w:rsidRPr="0071098A" w14:paraId="4E5D2232" w14:textId="77777777" w:rsidTr="00D05C52">
        <w:trPr>
          <w:trHeight w:val="457"/>
        </w:trPr>
        <w:tc>
          <w:tcPr>
            <w:tcW w:w="1236"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66099176" w14:textId="77777777" w:rsidR="004866DA" w:rsidRPr="0071098A" w:rsidRDefault="004866DA" w:rsidP="00D05C52">
            <w:pPr>
              <w:rPr>
                <w:rFonts w:eastAsia="Times New Roman"/>
                <w:sz w:val="22"/>
                <w:szCs w:val="22"/>
              </w:rPr>
            </w:pPr>
            <w:r w:rsidRPr="0071098A">
              <w:rPr>
                <w:rFonts w:eastAsia="Times New Roman"/>
                <w:sz w:val="22"/>
                <w:szCs w:val="22"/>
              </w:rPr>
              <w:t>Current salary?</w:t>
            </w:r>
          </w:p>
        </w:tc>
        <w:tc>
          <w:tcPr>
            <w:tcW w:w="1240"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181E3B2E" w14:textId="77777777" w:rsidR="004866DA" w:rsidRPr="0071098A" w:rsidRDefault="004866DA" w:rsidP="00D05C52">
            <w:pPr>
              <w:rPr>
                <w:rFonts w:eastAsia="Times New Roman"/>
                <w:sz w:val="22"/>
                <w:szCs w:val="22"/>
              </w:rPr>
            </w:pPr>
            <w:r w:rsidRPr="0071098A">
              <w:rPr>
                <w:rFonts w:eastAsia="Times New Roman"/>
                <w:sz w:val="22"/>
                <w:szCs w:val="22"/>
              </w:rPr>
              <w:t>5.00</w:t>
            </w:r>
          </w:p>
        </w:tc>
        <w:tc>
          <w:tcPr>
            <w:tcW w:w="1266"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5AD108FC" w14:textId="77777777" w:rsidR="004866DA" w:rsidRPr="0071098A" w:rsidRDefault="004866DA" w:rsidP="00D05C52">
            <w:pPr>
              <w:rPr>
                <w:rFonts w:eastAsia="Times New Roman"/>
                <w:sz w:val="22"/>
                <w:szCs w:val="22"/>
              </w:rPr>
            </w:pPr>
            <w:r w:rsidRPr="0071098A">
              <w:rPr>
                <w:rFonts w:eastAsia="Times New Roman"/>
                <w:sz w:val="22"/>
                <w:szCs w:val="22"/>
              </w:rPr>
              <w:t>10.00</w:t>
            </w:r>
          </w:p>
        </w:tc>
        <w:tc>
          <w:tcPr>
            <w:tcW w:w="1235"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20528B02" w14:textId="77777777" w:rsidR="004866DA" w:rsidRPr="0071098A" w:rsidRDefault="004866DA" w:rsidP="00D05C52">
            <w:pPr>
              <w:rPr>
                <w:rFonts w:eastAsia="Times New Roman"/>
                <w:sz w:val="22"/>
                <w:szCs w:val="22"/>
              </w:rPr>
            </w:pPr>
            <w:r w:rsidRPr="0071098A">
              <w:rPr>
                <w:rFonts w:eastAsia="Times New Roman"/>
                <w:sz w:val="22"/>
                <w:szCs w:val="22"/>
              </w:rPr>
              <w:t>6.64</w:t>
            </w:r>
          </w:p>
        </w:tc>
        <w:tc>
          <w:tcPr>
            <w:tcW w:w="1239"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19AB8EF1" w14:textId="77777777" w:rsidR="004866DA" w:rsidRPr="0071098A" w:rsidRDefault="004866DA" w:rsidP="00D05C52">
            <w:pPr>
              <w:rPr>
                <w:rFonts w:eastAsia="Times New Roman"/>
                <w:sz w:val="22"/>
                <w:szCs w:val="22"/>
              </w:rPr>
            </w:pPr>
            <w:r w:rsidRPr="0071098A">
              <w:rPr>
                <w:rFonts w:eastAsia="Times New Roman"/>
                <w:sz w:val="22"/>
                <w:szCs w:val="22"/>
              </w:rPr>
              <w:t>1.43</w:t>
            </w:r>
          </w:p>
        </w:tc>
        <w:tc>
          <w:tcPr>
            <w:tcW w:w="1239" w:type="dxa"/>
            <w:tcBorders>
              <w:top w:val="single" w:sz="6" w:space="0" w:color="4A7EBB"/>
              <w:left w:val="nil"/>
              <w:bottom w:val="single" w:sz="6" w:space="0" w:color="4A7EBB"/>
              <w:right w:val="nil"/>
            </w:tcBorders>
            <w:shd w:val="clear" w:color="auto" w:fill="auto"/>
            <w:tcMar>
              <w:top w:w="72" w:type="dxa"/>
              <w:left w:w="144" w:type="dxa"/>
              <w:bottom w:w="72" w:type="dxa"/>
              <w:right w:w="144" w:type="dxa"/>
            </w:tcMar>
            <w:hideMark/>
          </w:tcPr>
          <w:p w14:paraId="65976467" w14:textId="77777777" w:rsidR="004866DA" w:rsidRPr="0071098A" w:rsidRDefault="004866DA" w:rsidP="00D05C52">
            <w:pPr>
              <w:rPr>
                <w:rFonts w:eastAsia="Times New Roman"/>
                <w:sz w:val="22"/>
                <w:szCs w:val="22"/>
              </w:rPr>
            </w:pPr>
            <w:r w:rsidRPr="0071098A">
              <w:rPr>
                <w:rFonts w:eastAsia="Times New Roman"/>
                <w:sz w:val="22"/>
                <w:szCs w:val="22"/>
              </w:rPr>
              <w:t>2.05</w:t>
            </w:r>
          </w:p>
        </w:tc>
        <w:tc>
          <w:tcPr>
            <w:tcW w:w="1236" w:type="dxa"/>
            <w:tcBorders>
              <w:top w:val="single" w:sz="6" w:space="0" w:color="4A7EBB"/>
              <w:left w:val="nil"/>
              <w:bottom w:val="single" w:sz="6" w:space="0" w:color="4A7EBB"/>
              <w:right w:val="single" w:sz="6" w:space="0" w:color="4A7EBB"/>
            </w:tcBorders>
            <w:shd w:val="clear" w:color="auto" w:fill="auto"/>
            <w:tcMar>
              <w:top w:w="72" w:type="dxa"/>
              <w:left w:w="144" w:type="dxa"/>
              <w:bottom w:w="72" w:type="dxa"/>
              <w:right w:w="144" w:type="dxa"/>
            </w:tcMar>
            <w:hideMark/>
          </w:tcPr>
          <w:p w14:paraId="7BF3ADBD" w14:textId="77777777" w:rsidR="004866DA" w:rsidRPr="0071098A" w:rsidRDefault="004866DA" w:rsidP="00D05C52">
            <w:pPr>
              <w:rPr>
                <w:rFonts w:eastAsia="Times New Roman"/>
                <w:sz w:val="22"/>
                <w:szCs w:val="22"/>
              </w:rPr>
            </w:pPr>
            <w:r w:rsidRPr="0071098A">
              <w:rPr>
                <w:rFonts w:eastAsia="Times New Roman"/>
                <w:sz w:val="22"/>
                <w:szCs w:val="22"/>
              </w:rPr>
              <w:t>11</w:t>
            </w:r>
          </w:p>
        </w:tc>
      </w:tr>
    </w:tbl>
    <w:p w14:paraId="65F5BFCA" w14:textId="77777777" w:rsidR="004866DA" w:rsidRPr="0071098A" w:rsidRDefault="004866DA" w:rsidP="004866DA">
      <w:pPr>
        <w:rPr>
          <w:rFonts w:eastAsia="Calibri"/>
          <w:b/>
          <w:bCs/>
          <w:sz w:val="22"/>
          <w:szCs w:val="22"/>
        </w:rPr>
      </w:pPr>
    </w:p>
    <w:p w14:paraId="1FCB8A3E"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Q11:</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Which of the following best describes the area served by your employing agency, college, or school? (Please select all that apply)</w:t>
      </w:r>
    </w:p>
    <w:p w14:paraId="5E83288A" w14:textId="77777777" w:rsidR="004866DA" w:rsidRPr="00D42930" w:rsidRDefault="004866DA" w:rsidP="004866DA">
      <w:pPr>
        <w:rPr>
          <w:rFonts w:eastAsia="Times New Roman"/>
          <w:sz w:val="24"/>
          <w:szCs w:val="24"/>
        </w:rPr>
      </w:pPr>
      <w:r w:rsidRPr="00D42930">
        <w:rPr>
          <w:rFonts w:eastAsia="Times New Roman"/>
          <w:sz w:val="24"/>
          <w:szCs w:val="24"/>
          <w:shd w:val="clear" w:color="auto" w:fill="FFFFFF"/>
        </w:rPr>
        <w:t>Inner city = 2; Urban = 2; Small town = 8; Rural = 5; Appalachian area = 3; Not sure = 1</w:t>
      </w:r>
    </w:p>
    <w:p w14:paraId="68B722ED" w14:textId="77777777" w:rsidR="004866DA" w:rsidRPr="00D42930" w:rsidRDefault="004866DA" w:rsidP="004866DA">
      <w:pPr>
        <w:rPr>
          <w:rFonts w:eastAsia="Calibri"/>
          <w:b/>
          <w:bCs/>
          <w:sz w:val="24"/>
          <w:szCs w:val="24"/>
        </w:rPr>
      </w:pPr>
    </w:p>
    <w:p w14:paraId="54C3D469" w14:textId="77777777" w:rsidR="004866DA" w:rsidRPr="00D42930" w:rsidRDefault="004866DA" w:rsidP="004866DA">
      <w:pPr>
        <w:rPr>
          <w:rFonts w:eastAsia="Times New Roman"/>
          <w:b/>
          <w:bCs/>
          <w:color w:val="FF0000"/>
          <w:sz w:val="24"/>
          <w:szCs w:val="24"/>
          <w:shd w:val="clear" w:color="auto" w:fill="FFFFFF"/>
        </w:rPr>
      </w:pPr>
      <w:r w:rsidRPr="00D42930">
        <w:rPr>
          <w:rFonts w:eastAsia="Calibri"/>
          <w:b/>
          <w:bCs/>
          <w:sz w:val="24"/>
          <w:szCs w:val="24"/>
        </w:rPr>
        <w:t>Q12:</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What percentage of your clients do you think are families from income below the average of the community in which you work?</w:t>
      </w:r>
    </w:p>
    <w:p w14:paraId="77B892B6" w14:textId="77777777" w:rsidR="004866DA" w:rsidRPr="00D42930" w:rsidRDefault="004866DA" w:rsidP="004866DA">
      <w:pPr>
        <w:rPr>
          <w:rFonts w:eastAsia="Times New Roman"/>
          <w:sz w:val="24"/>
          <w:szCs w:val="24"/>
        </w:rPr>
      </w:pPr>
      <w:r w:rsidRPr="00D42930">
        <w:rPr>
          <w:rFonts w:eastAsia="Times New Roman"/>
          <w:sz w:val="24"/>
          <w:szCs w:val="24"/>
        </w:rPr>
        <w:t>0-20% = 2; 21-40% = 3; 41-60% = 3; 61-80% = 2; more than 80% = 1</w:t>
      </w:r>
    </w:p>
    <w:p w14:paraId="7EE156C3" w14:textId="77777777" w:rsidR="004866DA" w:rsidRPr="00D42930" w:rsidRDefault="004866DA" w:rsidP="004866DA">
      <w:pPr>
        <w:rPr>
          <w:rFonts w:eastAsia="Calibri"/>
          <w:b/>
          <w:bCs/>
          <w:sz w:val="24"/>
          <w:szCs w:val="24"/>
        </w:rPr>
      </w:pPr>
    </w:p>
    <w:p w14:paraId="25CA606A"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Q13:</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Ethnic background.</w:t>
      </w:r>
    </w:p>
    <w:p w14:paraId="5FE199CC" w14:textId="77777777" w:rsidR="004866DA" w:rsidRPr="00D42930" w:rsidRDefault="004866DA" w:rsidP="004866DA">
      <w:pPr>
        <w:rPr>
          <w:rFonts w:eastAsia="Times New Roman"/>
          <w:sz w:val="24"/>
          <w:szCs w:val="24"/>
        </w:rPr>
      </w:pPr>
      <w:r w:rsidRPr="00D42930">
        <w:rPr>
          <w:rFonts w:eastAsia="Times New Roman"/>
          <w:sz w:val="24"/>
          <w:szCs w:val="24"/>
        </w:rPr>
        <w:t>African-American = 2; White = 8; Asian = 0; Hispanic = 0; Multiracial = 1; Other = 0</w:t>
      </w:r>
    </w:p>
    <w:p w14:paraId="6CD61866" w14:textId="77777777" w:rsidR="004866DA" w:rsidRPr="00D42930" w:rsidRDefault="004866DA" w:rsidP="004866DA">
      <w:pPr>
        <w:rPr>
          <w:rFonts w:eastAsia="Calibri"/>
          <w:b/>
          <w:bCs/>
          <w:sz w:val="24"/>
          <w:szCs w:val="24"/>
        </w:rPr>
      </w:pPr>
    </w:p>
    <w:p w14:paraId="6C72F378"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Q14:</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Gender</w:t>
      </w:r>
    </w:p>
    <w:p w14:paraId="10F32A86" w14:textId="77777777" w:rsidR="004866DA" w:rsidRPr="00D42930" w:rsidRDefault="004866DA" w:rsidP="004866DA">
      <w:pPr>
        <w:rPr>
          <w:rFonts w:eastAsia="Times New Roman"/>
          <w:sz w:val="24"/>
          <w:szCs w:val="24"/>
        </w:rPr>
      </w:pPr>
      <w:r w:rsidRPr="00D42930">
        <w:rPr>
          <w:rFonts w:eastAsia="Times New Roman"/>
          <w:sz w:val="24"/>
          <w:szCs w:val="24"/>
        </w:rPr>
        <w:t>Male = 1; Female = 10; Non-binary = 0; Trans Male = 0; Trans Female = 0; Other = 0</w:t>
      </w:r>
    </w:p>
    <w:p w14:paraId="5BB307C2" w14:textId="77777777" w:rsidR="004866DA" w:rsidRPr="00D42930" w:rsidRDefault="004866DA" w:rsidP="004866DA">
      <w:pPr>
        <w:rPr>
          <w:rFonts w:eastAsia="Calibri"/>
          <w:b/>
          <w:bCs/>
          <w:sz w:val="24"/>
          <w:szCs w:val="24"/>
        </w:rPr>
      </w:pPr>
    </w:p>
    <w:p w14:paraId="7E3D7657" w14:textId="77777777" w:rsidR="004866DA" w:rsidRPr="00D42930" w:rsidRDefault="004866DA" w:rsidP="004866DA">
      <w:pPr>
        <w:rPr>
          <w:rFonts w:eastAsia="Times New Roman"/>
          <w:b/>
          <w:bCs/>
          <w:sz w:val="24"/>
          <w:szCs w:val="24"/>
          <w:shd w:val="clear" w:color="auto" w:fill="FFFFFF"/>
        </w:rPr>
      </w:pPr>
      <w:r w:rsidRPr="00D42930">
        <w:rPr>
          <w:rFonts w:eastAsia="Calibri"/>
          <w:b/>
          <w:bCs/>
          <w:sz w:val="24"/>
          <w:szCs w:val="24"/>
        </w:rPr>
        <w:t>Q15:</w:t>
      </w:r>
      <w:r w:rsidRPr="00D42930">
        <w:rPr>
          <w:rFonts w:eastAsia="Calibri"/>
          <w:b/>
          <w:bCs/>
          <w:sz w:val="24"/>
          <w:szCs w:val="24"/>
          <w:shd w:val="clear" w:color="auto" w:fill="FFFFFF"/>
        </w:rPr>
        <w:t xml:space="preserve"> </w:t>
      </w:r>
      <w:r w:rsidRPr="00D42930">
        <w:rPr>
          <w:rFonts w:eastAsia="Times New Roman"/>
          <w:b/>
          <w:bCs/>
          <w:sz w:val="24"/>
          <w:szCs w:val="24"/>
          <w:shd w:val="clear" w:color="auto" w:fill="FFFFFF"/>
        </w:rPr>
        <w:t>Reasons for choosing the Counselor Education Program at EKU (Please select all that apply).</w:t>
      </w:r>
    </w:p>
    <w:p w14:paraId="16F1D1C8" w14:textId="296766F6" w:rsidR="004866DA" w:rsidRDefault="004866DA" w:rsidP="004866DA">
      <w:pPr>
        <w:rPr>
          <w:rFonts w:eastAsia="Times New Roman"/>
          <w:sz w:val="24"/>
          <w:szCs w:val="24"/>
          <w:shd w:val="clear" w:color="auto" w:fill="FFFFFF"/>
        </w:rPr>
      </w:pPr>
      <w:r w:rsidRPr="00D42930">
        <w:rPr>
          <w:rFonts w:eastAsia="Times New Roman"/>
          <w:sz w:val="24"/>
          <w:szCs w:val="24"/>
          <w:shd w:val="clear" w:color="auto" w:fill="FFFFFF"/>
        </w:rPr>
        <w:t xml:space="preserve">Reputation of the faculty and program = 3; CACREP Accredited Program = 7; Geographic proximity to the campus = 8; Undergraduate of EKU = 5; Cost of graduate education = 1; </w:t>
      </w:r>
      <w:r w:rsidRPr="00D42930">
        <w:rPr>
          <w:rFonts w:eastAsia="Times New Roman"/>
          <w:sz w:val="24"/>
          <w:szCs w:val="24"/>
          <w:shd w:val="clear" w:color="auto" w:fill="FFFFFF"/>
        </w:rPr>
        <w:lastRenderedPageBreak/>
        <w:t>Success of program graduates = 2; Access to program and classes = 3; Undergraduate advisory information = 0; Suggestions from current student or alumni = 3; Suggestions from employers = 0; Other = 1</w:t>
      </w:r>
    </w:p>
    <w:p w14:paraId="7EE5B4B8" w14:textId="77777777" w:rsidR="00A27837" w:rsidRPr="00D42930" w:rsidRDefault="00A27837" w:rsidP="004866DA">
      <w:pPr>
        <w:rPr>
          <w:rFonts w:eastAsia="Times New Roman"/>
          <w:sz w:val="24"/>
          <w:szCs w:val="24"/>
          <w:shd w:val="clear" w:color="auto" w:fill="FFFFFF"/>
        </w:rPr>
      </w:pPr>
    </w:p>
    <w:p w14:paraId="5609A7F7" w14:textId="77777777" w:rsidR="004866DA" w:rsidRPr="00D42930" w:rsidRDefault="004866DA" w:rsidP="004866DA">
      <w:pPr>
        <w:rPr>
          <w:rFonts w:eastAsia="Calibri"/>
          <w:b/>
          <w:bCs/>
          <w:sz w:val="24"/>
          <w:szCs w:val="24"/>
        </w:rPr>
      </w:pPr>
      <w:r w:rsidRPr="00D42930">
        <w:rPr>
          <w:rFonts w:eastAsia="Calibri"/>
          <w:b/>
          <w:bCs/>
          <w:sz w:val="24"/>
          <w:szCs w:val="24"/>
        </w:rPr>
        <w:t>Q 17. Based on the training in the program, how much do you agree with the following statements:</w:t>
      </w:r>
    </w:p>
    <w:p w14:paraId="4B7DA56B" w14:textId="77777777" w:rsidR="009855C1" w:rsidRDefault="009855C1"/>
    <w:sectPr w:rsidR="0098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1FA5A6"/>
    <w:multiLevelType w:val="hybridMultilevel"/>
    <w:tmpl w:val="10C62B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06366D"/>
    <w:multiLevelType w:val="hybridMultilevel"/>
    <w:tmpl w:val="4079D4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F108A6"/>
    <w:multiLevelType w:val="hybridMultilevel"/>
    <w:tmpl w:val="986888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B11E9"/>
    <w:multiLevelType w:val="hybridMultilevel"/>
    <w:tmpl w:val="82E4C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458BC"/>
    <w:multiLevelType w:val="hybridMultilevel"/>
    <w:tmpl w:val="011B30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C33327"/>
    <w:multiLevelType w:val="hybridMultilevel"/>
    <w:tmpl w:val="4516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528B9"/>
    <w:multiLevelType w:val="hybridMultilevel"/>
    <w:tmpl w:val="14125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31B4B"/>
    <w:multiLevelType w:val="hybridMultilevel"/>
    <w:tmpl w:val="936AB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9A2"/>
    <w:multiLevelType w:val="hybridMultilevel"/>
    <w:tmpl w:val="22B4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AB027D"/>
    <w:multiLevelType w:val="hybridMultilevel"/>
    <w:tmpl w:val="463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4133"/>
    <w:multiLevelType w:val="hybridMultilevel"/>
    <w:tmpl w:val="DC5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81F61"/>
    <w:multiLevelType w:val="hybridMultilevel"/>
    <w:tmpl w:val="128E4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94C01B8"/>
    <w:multiLevelType w:val="hybridMultilevel"/>
    <w:tmpl w:val="5928A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8B6274"/>
    <w:multiLevelType w:val="multilevel"/>
    <w:tmpl w:val="9772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3EF6B4B"/>
    <w:multiLevelType w:val="hybridMultilevel"/>
    <w:tmpl w:val="AF8C39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217EC"/>
    <w:multiLevelType w:val="hybridMultilevel"/>
    <w:tmpl w:val="FBD2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02F1B"/>
    <w:multiLevelType w:val="hybridMultilevel"/>
    <w:tmpl w:val="775EB030"/>
    <w:lvl w:ilvl="0" w:tplc="55981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FA2586"/>
    <w:multiLevelType w:val="hybridMultilevel"/>
    <w:tmpl w:val="768C7B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535FCF"/>
    <w:multiLevelType w:val="hybridMultilevel"/>
    <w:tmpl w:val="B62A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86079"/>
    <w:multiLevelType w:val="hybridMultilevel"/>
    <w:tmpl w:val="7D2EB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9326C9D"/>
    <w:multiLevelType w:val="hybridMultilevel"/>
    <w:tmpl w:val="FDA4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E26C3"/>
    <w:multiLevelType w:val="hybridMultilevel"/>
    <w:tmpl w:val="B67C2D04"/>
    <w:lvl w:ilvl="0" w:tplc="F1A26D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46A87"/>
    <w:multiLevelType w:val="hybridMultilevel"/>
    <w:tmpl w:val="586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261FC"/>
    <w:multiLevelType w:val="hybridMultilevel"/>
    <w:tmpl w:val="7974D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D30B6F"/>
    <w:multiLevelType w:val="hybridMultilevel"/>
    <w:tmpl w:val="7548DCC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
  </w:num>
  <w:num w:numId="5">
    <w:abstractNumId w:val="2"/>
  </w:num>
  <w:num w:numId="6">
    <w:abstractNumId w:val="16"/>
  </w:num>
  <w:num w:numId="7">
    <w:abstractNumId w:val="7"/>
  </w:num>
  <w:num w:numId="8">
    <w:abstractNumId w:val="9"/>
  </w:num>
  <w:num w:numId="9">
    <w:abstractNumId w:val="14"/>
  </w:num>
  <w:num w:numId="10">
    <w:abstractNumId w:val="17"/>
  </w:num>
  <w:num w:numId="11">
    <w:abstractNumId w:val="8"/>
  </w:num>
  <w:num w:numId="12">
    <w:abstractNumId w:val="10"/>
  </w:num>
  <w:num w:numId="13">
    <w:abstractNumId w:val="11"/>
  </w:num>
  <w:num w:numId="14">
    <w:abstractNumId w:val="3"/>
  </w:num>
  <w:num w:numId="15">
    <w:abstractNumId w:val="5"/>
  </w:num>
  <w:num w:numId="16">
    <w:abstractNumId w:val="1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5"/>
  </w:num>
  <w:num w:numId="20">
    <w:abstractNumId w:val="6"/>
  </w:num>
  <w:num w:numId="21">
    <w:abstractNumId w:val="12"/>
  </w:num>
  <w:num w:numId="22">
    <w:abstractNumId w:val="23"/>
  </w:num>
  <w:num w:numId="23">
    <w:abstractNumId w:val="24"/>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6DA"/>
    <w:rsid w:val="00072560"/>
    <w:rsid w:val="000B364B"/>
    <w:rsid w:val="001A2D33"/>
    <w:rsid w:val="00321506"/>
    <w:rsid w:val="004503C7"/>
    <w:rsid w:val="004866DA"/>
    <w:rsid w:val="00524170"/>
    <w:rsid w:val="00734108"/>
    <w:rsid w:val="008D2417"/>
    <w:rsid w:val="00933EB2"/>
    <w:rsid w:val="009855C1"/>
    <w:rsid w:val="00996992"/>
    <w:rsid w:val="00A27837"/>
    <w:rsid w:val="00A707A9"/>
    <w:rsid w:val="00B35263"/>
    <w:rsid w:val="00C80322"/>
    <w:rsid w:val="00CA19D7"/>
    <w:rsid w:val="00CF5BCD"/>
    <w:rsid w:val="00D05C52"/>
    <w:rsid w:val="00E449B6"/>
    <w:rsid w:val="00EB187E"/>
    <w:rsid w:val="00FA4D37"/>
    <w:rsid w:val="00FD2E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2575"/>
  <w15:chartTrackingRefBased/>
  <w15:docId w15:val="{90E39603-5458-4F5A-84AD-9D7A7589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DA"/>
    <w:pPr>
      <w:spacing w:after="0" w:line="240" w:lineRule="auto"/>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4866DA"/>
    <w:pPr>
      <w:keepNext/>
      <w:widowControl w:val="0"/>
      <w:spacing w:after="40"/>
      <w:jc w:val="center"/>
      <w:outlineLvl w:val="0"/>
    </w:pPr>
    <w:rPr>
      <w:rFonts w:ascii="Century Schoolbook" w:hAnsi="Century Schoolbook"/>
      <w:b/>
      <w:snapToGrid w:val="0"/>
      <w:sz w:val="24"/>
    </w:rPr>
  </w:style>
  <w:style w:type="paragraph" w:styleId="Heading2">
    <w:name w:val="heading 2"/>
    <w:basedOn w:val="Normal"/>
    <w:next w:val="Normal"/>
    <w:link w:val="Heading2Char"/>
    <w:uiPriority w:val="9"/>
    <w:qFormat/>
    <w:rsid w:val="004866DA"/>
    <w:pPr>
      <w:keepNext/>
      <w:ind w:left="720" w:right="-720"/>
      <w:outlineLvl w:val="1"/>
    </w:pPr>
    <w:rPr>
      <w:sz w:val="24"/>
    </w:rPr>
  </w:style>
  <w:style w:type="paragraph" w:styleId="Heading3">
    <w:name w:val="heading 3"/>
    <w:basedOn w:val="Normal"/>
    <w:next w:val="Normal"/>
    <w:link w:val="Heading3Char"/>
    <w:uiPriority w:val="9"/>
    <w:qFormat/>
    <w:rsid w:val="004866DA"/>
    <w:pPr>
      <w:keepNext/>
      <w:ind w:left="90" w:righ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6DA"/>
    <w:rPr>
      <w:rFonts w:ascii="Century Schoolbook" w:eastAsia="Malgun Gothic" w:hAnsi="Century Schoolbook" w:cs="Times New Roman"/>
      <w:b/>
      <w:snapToGrid w:val="0"/>
      <w:sz w:val="24"/>
      <w:szCs w:val="20"/>
    </w:rPr>
  </w:style>
  <w:style w:type="character" w:customStyle="1" w:styleId="Heading2Char">
    <w:name w:val="Heading 2 Char"/>
    <w:basedOn w:val="DefaultParagraphFont"/>
    <w:link w:val="Heading2"/>
    <w:uiPriority w:val="9"/>
    <w:rsid w:val="004866DA"/>
    <w:rPr>
      <w:rFonts w:ascii="Times New Roman" w:eastAsia="Malgun Gothic" w:hAnsi="Times New Roman" w:cs="Times New Roman"/>
      <w:sz w:val="24"/>
      <w:szCs w:val="20"/>
    </w:rPr>
  </w:style>
  <w:style w:type="character" w:customStyle="1" w:styleId="Heading3Char">
    <w:name w:val="Heading 3 Char"/>
    <w:basedOn w:val="DefaultParagraphFont"/>
    <w:link w:val="Heading3"/>
    <w:uiPriority w:val="9"/>
    <w:rsid w:val="004866DA"/>
    <w:rPr>
      <w:rFonts w:ascii="Times New Roman" w:eastAsia="Malgun Gothic" w:hAnsi="Times New Roman" w:cs="Times New Roman"/>
      <w:sz w:val="24"/>
      <w:szCs w:val="20"/>
    </w:rPr>
  </w:style>
  <w:style w:type="paragraph" w:customStyle="1" w:styleId="WPDefaults">
    <w:name w:val="WP Defaults"/>
    <w:rsid w:val="004866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pPr>
    <w:rPr>
      <w:rFonts w:ascii="Geneva" w:eastAsia="Malgun Gothic" w:hAnsi="Geneva" w:cs="Times New Roman"/>
      <w:color w:val="000000"/>
      <w:sz w:val="24"/>
      <w:szCs w:val="20"/>
    </w:rPr>
  </w:style>
  <w:style w:type="paragraph" w:customStyle="1" w:styleId="Document">
    <w:name w:val="Document"/>
    <w:rsid w:val="004866DA"/>
    <w:pPr>
      <w:spacing w:after="0" w:line="240" w:lineRule="atLeast"/>
    </w:pPr>
    <w:rPr>
      <w:rFonts w:ascii="Geneva" w:eastAsia="Malgun Gothic" w:hAnsi="Geneva" w:cs="Times New Roman"/>
      <w:color w:val="000000"/>
      <w:sz w:val="20"/>
      <w:szCs w:val="20"/>
    </w:rPr>
  </w:style>
  <w:style w:type="paragraph" w:styleId="PlainText">
    <w:name w:val="Plain Text"/>
    <w:basedOn w:val="Normal"/>
    <w:link w:val="PlainTextChar"/>
    <w:rsid w:val="004866DA"/>
    <w:rPr>
      <w:rFonts w:ascii="Courier New" w:hAnsi="Courier New"/>
    </w:rPr>
  </w:style>
  <w:style w:type="character" w:customStyle="1" w:styleId="PlainTextChar">
    <w:name w:val="Plain Text Char"/>
    <w:basedOn w:val="DefaultParagraphFont"/>
    <w:link w:val="PlainText"/>
    <w:rsid w:val="004866DA"/>
    <w:rPr>
      <w:rFonts w:ascii="Courier New" w:eastAsia="Malgun Gothic" w:hAnsi="Courier New" w:cs="Times New Roman"/>
      <w:sz w:val="20"/>
      <w:szCs w:val="20"/>
    </w:rPr>
  </w:style>
  <w:style w:type="paragraph" w:styleId="Footer">
    <w:name w:val="footer"/>
    <w:basedOn w:val="Normal"/>
    <w:link w:val="FooterChar"/>
    <w:uiPriority w:val="99"/>
    <w:rsid w:val="004866DA"/>
    <w:pPr>
      <w:tabs>
        <w:tab w:val="center" w:pos="4320"/>
        <w:tab w:val="right" w:pos="8640"/>
      </w:tabs>
    </w:pPr>
    <w:rPr>
      <w:sz w:val="24"/>
    </w:rPr>
  </w:style>
  <w:style w:type="character" w:customStyle="1" w:styleId="FooterChar">
    <w:name w:val="Footer Char"/>
    <w:basedOn w:val="DefaultParagraphFont"/>
    <w:link w:val="Footer"/>
    <w:uiPriority w:val="99"/>
    <w:rsid w:val="004866DA"/>
    <w:rPr>
      <w:rFonts w:ascii="Times New Roman" w:eastAsia="Malgun Gothic" w:hAnsi="Times New Roman" w:cs="Times New Roman"/>
      <w:sz w:val="24"/>
      <w:szCs w:val="20"/>
    </w:rPr>
  </w:style>
  <w:style w:type="paragraph" w:styleId="BlockText">
    <w:name w:val="Block Text"/>
    <w:basedOn w:val="Normal"/>
    <w:rsid w:val="004866DA"/>
    <w:pPr>
      <w:widowControl w:val="0"/>
      <w:tabs>
        <w:tab w:val="left" w:pos="9360"/>
      </w:tabs>
      <w:ind w:left="90" w:right="720"/>
    </w:pPr>
    <w:rPr>
      <w:snapToGrid w:val="0"/>
      <w:sz w:val="24"/>
    </w:rPr>
  </w:style>
  <w:style w:type="paragraph" w:styleId="BodyText">
    <w:name w:val="Body Text"/>
    <w:basedOn w:val="Normal"/>
    <w:link w:val="BodyTextChar"/>
    <w:uiPriority w:val="1"/>
    <w:qFormat/>
    <w:rsid w:val="004866DA"/>
    <w:rPr>
      <w:sz w:val="19"/>
    </w:rPr>
  </w:style>
  <w:style w:type="character" w:customStyle="1" w:styleId="BodyTextChar">
    <w:name w:val="Body Text Char"/>
    <w:basedOn w:val="DefaultParagraphFont"/>
    <w:link w:val="BodyText"/>
    <w:uiPriority w:val="1"/>
    <w:rsid w:val="004866DA"/>
    <w:rPr>
      <w:rFonts w:ascii="Times New Roman" w:eastAsia="Malgun Gothic" w:hAnsi="Times New Roman" w:cs="Times New Roman"/>
      <w:sz w:val="19"/>
      <w:szCs w:val="20"/>
    </w:rPr>
  </w:style>
  <w:style w:type="character" w:styleId="Hyperlink">
    <w:name w:val="Hyperlink"/>
    <w:rsid w:val="004866DA"/>
    <w:rPr>
      <w:color w:val="0000FF"/>
      <w:u w:val="single"/>
    </w:rPr>
  </w:style>
  <w:style w:type="paragraph" w:styleId="Header">
    <w:name w:val="header"/>
    <w:basedOn w:val="Normal"/>
    <w:link w:val="HeaderChar"/>
    <w:uiPriority w:val="99"/>
    <w:rsid w:val="004866DA"/>
    <w:pPr>
      <w:tabs>
        <w:tab w:val="center" w:pos="4320"/>
        <w:tab w:val="right" w:pos="8640"/>
      </w:tabs>
    </w:pPr>
  </w:style>
  <w:style w:type="character" w:customStyle="1" w:styleId="HeaderChar">
    <w:name w:val="Header Char"/>
    <w:basedOn w:val="DefaultParagraphFont"/>
    <w:link w:val="Header"/>
    <w:uiPriority w:val="99"/>
    <w:rsid w:val="004866DA"/>
    <w:rPr>
      <w:rFonts w:ascii="Times New Roman" w:eastAsia="Malgun Gothic" w:hAnsi="Times New Roman" w:cs="Times New Roman"/>
      <w:sz w:val="20"/>
      <w:szCs w:val="20"/>
    </w:rPr>
  </w:style>
  <w:style w:type="paragraph" w:styleId="BalloonText">
    <w:name w:val="Balloon Text"/>
    <w:basedOn w:val="Normal"/>
    <w:link w:val="BalloonTextChar"/>
    <w:rsid w:val="004866DA"/>
    <w:rPr>
      <w:rFonts w:ascii="Segoe UI" w:hAnsi="Segoe UI" w:cs="Segoe UI"/>
      <w:sz w:val="18"/>
      <w:szCs w:val="18"/>
    </w:rPr>
  </w:style>
  <w:style w:type="character" w:customStyle="1" w:styleId="BalloonTextChar">
    <w:name w:val="Balloon Text Char"/>
    <w:basedOn w:val="DefaultParagraphFont"/>
    <w:link w:val="BalloonText"/>
    <w:rsid w:val="004866DA"/>
    <w:rPr>
      <w:rFonts w:ascii="Segoe UI" w:eastAsia="Malgun Gothic" w:hAnsi="Segoe UI" w:cs="Segoe UI"/>
      <w:sz w:val="18"/>
      <w:szCs w:val="18"/>
    </w:rPr>
  </w:style>
  <w:style w:type="paragraph" w:customStyle="1" w:styleId="Default">
    <w:name w:val="Default"/>
    <w:rsid w:val="004866DA"/>
    <w:pPr>
      <w:autoSpaceDE w:val="0"/>
      <w:autoSpaceDN w:val="0"/>
      <w:adjustRightInd w:val="0"/>
      <w:spacing w:after="0" w:line="240" w:lineRule="auto"/>
    </w:pPr>
    <w:rPr>
      <w:rFonts w:ascii="Times New Roman" w:eastAsia="Malgun Gothic" w:hAnsi="Times New Roman" w:cs="Times New Roman"/>
      <w:color w:val="000000"/>
      <w:sz w:val="24"/>
      <w:szCs w:val="24"/>
    </w:rPr>
  </w:style>
  <w:style w:type="character" w:styleId="CommentReference">
    <w:name w:val="annotation reference"/>
    <w:rsid w:val="004866DA"/>
    <w:rPr>
      <w:sz w:val="16"/>
      <w:szCs w:val="16"/>
    </w:rPr>
  </w:style>
  <w:style w:type="paragraph" w:styleId="CommentText">
    <w:name w:val="annotation text"/>
    <w:basedOn w:val="Normal"/>
    <w:link w:val="CommentTextChar"/>
    <w:rsid w:val="004866DA"/>
  </w:style>
  <w:style w:type="character" w:customStyle="1" w:styleId="CommentTextChar">
    <w:name w:val="Comment Text Char"/>
    <w:basedOn w:val="DefaultParagraphFont"/>
    <w:link w:val="CommentText"/>
    <w:rsid w:val="004866DA"/>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rsid w:val="004866DA"/>
    <w:rPr>
      <w:b/>
      <w:bCs/>
    </w:rPr>
  </w:style>
  <w:style w:type="character" w:customStyle="1" w:styleId="CommentSubjectChar">
    <w:name w:val="Comment Subject Char"/>
    <w:basedOn w:val="CommentTextChar"/>
    <w:link w:val="CommentSubject"/>
    <w:rsid w:val="004866DA"/>
    <w:rPr>
      <w:rFonts w:ascii="Times New Roman" w:eastAsia="Malgun Gothic" w:hAnsi="Times New Roman" w:cs="Times New Roman"/>
      <w:b/>
      <w:bCs/>
      <w:sz w:val="20"/>
      <w:szCs w:val="20"/>
    </w:rPr>
  </w:style>
  <w:style w:type="paragraph" w:styleId="Revision">
    <w:name w:val="Revision"/>
    <w:hidden/>
    <w:uiPriority w:val="99"/>
    <w:semiHidden/>
    <w:rsid w:val="004866DA"/>
    <w:pPr>
      <w:spacing w:after="0" w:line="240" w:lineRule="auto"/>
    </w:pPr>
    <w:rPr>
      <w:rFonts w:ascii="Times New Roman" w:eastAsia="Malgun Gothic" w:hAnsi="Times New Roman" w:cs="Times New Roman"/>
      <w:sz w:val="20"/>
      <w:szCs w:val="20"/>
    </w:rPr>
  </w:style>
  <w:style w:type="character" w:styleId="Emphasis">
    <w:name w:val="Emphasis"/>
    <w:qFormat/>
    <w:rsid w:val="004866DA"/>
    <w:rPr>
      <w:i/>
      <w:iCs/>
    </w:rPr>
  </w:style>
  <w:style w:type="paragraph" w:styleId="ListParagraph">
    <w:name w:val="List Paragraph"/>
    <w:basedOn w:val="Normal"/>
    <w:uiPriority w:val="1"/>
    <w:qFormat/>
    <w:rsid w:val="004866D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4866DA"/>
    <w:pPr>
      <w:spacing w:before="100" w:beforeAutospacing="1" w:after="100" w:afterAutospacing="1"/>
    </w:pPr>
    <w:rPr>
      <w:sz w:val="24"/>
      <w:szCs w:val="24"/>
    </w:rPr>
  </w:style>
  <w:style w:type="table" w:styleId="TableGrid">
    <w:name w:val="Table Grid"/>
    <w:basedOn w:val="TableNormal"/>
    <w:uiPriority w:val="39"/>
    <w:rsid w:val="00486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4866DA"/>
    <w:pPr>
      <w:widowControl w:val="0"/>
      <w:autoSpaceDE w:val="0"/>
      <w:autoSpaceDN w:val="0"/>
      <w:spacing w:before="113"/>
      <w:ind w:left="114"/>
    </w:pPr>
    <w:rPr>
      <w:rFonts w:ascii="Arial" w:eastAsia="Arial" w:hAnsi="Arial" w:cs="Arial"/>
      <w:sz w:val="26"/>
      <w:szCs w:val="26"/>
    </w:rPr>
  </w:style>
  <w:style w:type="character" w:customStyle="1" w:styleId="TitleChar">
    <w:name w:val="Title Char"/>
    <w:basedOn w:val="DefaultParagraphFont"/>
    <w:link w:val="Title"/>
    <w:uiPriority w:val="10"/>
    <w:rsid w:val="004866DA"/>
    <w:rPr>
      <w:rFonts w:ascii="Arial" w:eastAsia="Arial" w:hAnsi="Arial" w:cs="Arial"/>
      <w:sz w:val="26"/>
      <w:szCs w:val="26"/>
    </w:rPr>
  </w:style>
  <w:style w:type="paragraph" w:customStyle="1" w:styleId="TableParagraph">
    <w:name w:val="Table Paragraph"/>
    <w:basedOn w:val="Normal"/>
    <w:uiPriority w:val="1"/>
    <w:qFormat/>
    <w:rsid w:val="004866DA"/>
    <w:pPr>
      <w:widowControl w:val="0"/>
      <w:autoSpaceDE w:val="0"/>
      <w:autoSpaceDN w:val="0"/>
    </w:pPr>
    <w:rPr>
      <w:rFonts w:ascii="Arial" w:eastAsia="Arial" w:hAnsi="Arial" w:cs="Arial"/>
      <w:sz w:val="22"/>
      <w:szCs w:val="22"/>
    </w:rPr>
  </w:style>
  <w:style w:type="table" w:customStyle="1" w:styleId="TableGrid2">
    <w:name w:val="Table Grid2"/>
    <w:basedOn w:val="TableNormal"/>
    <w:next w:val="TableGrid"/>
    <w:uiPriority w:val="39"/>
    <w:rsid w:val="004866DA"/>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66DA"/>
  </w:style>
  <w:style w:type="numbering" w:customStyle="1" w:styleId="NoList2">
    <w:name w:val="No List2"/>
    <w:next w:val="NoList"/>
    <w:uiPriority w:val="99"/>
    <w:semiHidden/>
    <w:unhideWhenUsed/>
    <w:rsid w:val="004866DA"/>
  </w:style>
  <w:style w:type="paragraph" w:customStyle="1" w:styleId="ProficientText">
    <w:name w:val="Proficient Text"/>
    <w:basedOn w:val="Normal"/>
    <w:qFormat/>
    <w:rsid w:val="004866DA"/>
    <w:pPr>
      <w:spacing w:before="40" w:after="40"/>
    </w:pPr>
    <w:rPr>
      <w:rFonts w:ascii="Arial" w:eastAsia="Calibri" w:hAnsi="Arial"/>
      <w:b/>
      <w:szCs w:val="22"/>
    </w:rPr>
  </w:style>
  <w:style w:type="paragraph" w:customStyle="1" w:styleId="TableBlueText">
    <w:name w:val="Table Blue Text"/>
    <w:basedOn w:val="Normal"/>
    <w:qFormat/>
    <w:rsid w:val="004866DA"/>
    <w:pPr>
      <w:spacing w:before="40" w:after="40"/>
    </w:pPr>
    <w:rPr>
      <w:rFonts w:ascii="Arial" w:eastAsia="Calibri" w:hAnsi="Arial"/>
      <w:color w:val="00438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Kellie</dc:creator>
  <cp:keywords/>
  <dc:description/>
  <cp:lastModifiedBy>Mi-hee Jeon</cp:lastModifiedBy>
  <cp:revision>5</cp:revision>
  <dcterms:created xsi:type="dcterms:W3CDTF">2022-03-28T02:00:00Z</dcterms:created>
  <dcterms:modified xsi:type="dcterms:W3CDTF">2022-03-28T02:13:00Z</dcterms:modified>
</cp:coreProperties>
</file>