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535C" w14:textId="77777777" w:rsidR="004866DA" w:rsidRPr="00FF16F2" w:rsidRDefault="004866DA" w:rsidP="004866DA">
      <w:pPr>
        <w:rPr>
          <w:rFonts w:eastAsia="Calibri"/>
          <w:b/>
          <w:bCs/>
          <w:sz w:val="24"/>
          <w:szCs w:val="24"/>
        </w:rPr>
      </w:pPr>
      <w:r w:rsidRPr="00FF16F2">
        <w:rPr>
          <w:rFonts w:eastAsia="Calibri"/>
          <w:b/>
          <w:bCs/>
          <w:sz w:val="24"/>
          <w:szCs w:val="24"/>
        </w:rPr>
        <w:t>Survey of Site Supervisor/Employers about Program Alumni 2022</w:t>
      </w:r>
    </w:p>
    <w:p w14:paraId="7572CEFA" w14:textId="77777777" w:rsidR="004866DA" w:rsidRPr="00FF16F2" w:rsidRDefault="004866DA" w:rsidP="004866DA">
      <w:pPr>
        <w:rPr>
          <w:sz w:val="24"/>
          <w:szCs w:val="24"/>
        </w:rPr>
      </w:pPr>
    </w:p>
    <w:p w14:paraId="507B55DD" w14:textId="77777777" w:rsidR="004866DA" w:rsidRPr="00FF16F2" w:rsidRDefault="004866DA" w:rsidP="004866DA">
      <w:pPr>
        <w:rPr>
          <w:rFonts w:eastAsia="Times New Roman"/>
          <w:b/>
          <w:bCs/>
          <w:i/>
          <w:iCs/>
          <w:sz w:val="24"/>
          <w:szCs w:val="24"/>
          <w:u w:val="single"/>
        </w:rPr>
      </w:pPr>
      <w:r w:rsidRPr="00FF16F2">
        <w:rPr>
          <w:rFonts w:eastAsia="Times New Roman"/>
          <w:b/>
          <w:bCs/>
          <w:i/>
          <w:iCs/>
          <w:sz w:val="24"/>
          <w:szCs w:val="24"/>
          <w:u w:val="single"/>
        </w:rPr>
        <w:t>The Survey:</w:t>
      </w:r>
    </w:p>
    <w:p w14:paraId="2699E1AB" w14:textId="77777777" w:rsidR="004866DA" w:rsidRPr="00FF16F2" w:rsidRDefault="004866DA" w:rsidP="004866DA">
      <w:pPr>
        <w:rPr>
          <w:rFonts w:eastAsia="Times New Roman"/>
          <w:sz w:val="24"/>
          <w:szCs w:val="24"/>
        </w:rPr>
      </w:pPr>
      <w:r w:rsidRPr="00FF16F2">
        <w:rPr>
          <w:rFonts w:eastAsia="Times New Roman"/>
          <w:sz w:val="24"/>
          <w:szCs w:val="24"/>
        </w:rPr>
        <w:t xml:space="preserve">As part of the ongoing assessment of EKU’s counseling program, the faculty conducted a survey of students’ supervisors and post-graduation employers to determine their perspective on students’ knowledge and skills in the eight core areas of CACREP’s curriculum and desirability for hire after graduation. </w:t>
      </w:r>
    </w:p>
    <w:p w14:paraId="7873238D" w14:textId="77777777" w:rsidR="004866DA" w:rsidRPr="00FF16F2" w:rsidRDefault="004866DA" w:rsidP="004866DA">
      <w:pPr>
        <w:rPr>
          <w:rFonts w:eastAsia="Times New Roman"/>
          <w:sz w:val="24"/>
          <w:szCs w:val="24"/>
        </w:rPr>
      </w:pPr>
    </w:p>
    <w:p w14:paraId="7427CE88" w14:textId="77777777" w:rsidR="004866DA" w:rsidRPr="00FF16F2" w:rsidRDefault="004866DA" w:rsidP="004866DA">
      <w:pPr>
        <w:rPr>
          <w:rFonts w:eastAsia="Times New Roman"/>
          <w:sz w:val="24"/>
          <w:szCs w:val="24"/>
        </w:rPr>
      </w:pPr>
      <w:r w:rsidRPr="00FF16F2">
        <w:rPr>
          <w:rFonts w:eastAsia="Times New Roman"/>
          <w:sz w:val="24"/>
          <w:szCs w:val="24"/>
        </w:rPr>
        <w:t xml:space="preserve">The supervisor/employer survey contained 13 questions. Four questions were dichotomous questions to determine the respondent’s role (i.e., supervisor, employer, or both) and desirability and experience in hiring students after their graduation. The remaining nine questions were statements of the students’ knowledge and skills pertaining to each of the eight core areas of CACREP’s curriculum and their responses were anchored by a 5-point Likert scale whereby 1 was </w:t>
      </w:r>
      <w:r w:rsidRPr="00FF16F2">
        <w:rPr>
          <w:rFonts w:eastAsia="Times New Roman"/>
          <w:i/>
          <w:iCs/>
          <w:sz w:val="24"/>
          <w:szCs w:val="24"/>
        </w:rPr>
        <w:t>Strongly Agree</w:t>
      </w:r>
      <w:r w:rsidRPr="00FF16F2">
        <w:rPr>
          <w:rFonts w:eastAsia="Times New Roman"/>
          <w:sz w:val="24"/>
          <w:szCs w:val="24"/>
        </w:rPr>
        <w:t xml:space="preserve"> and 5 was </w:t>
      </w:r>
      <w:r w:rsidRPr="00FF16F2">
        <w:rPr>
          <w:rFonts w:eastAsia="Times New Roman"/>
          <w:i/>
          <w:iCs/>
          <w:sz w:val="24"/>
          <w:szCs w:val="24"/>
        </w:rPr>
        <w:t>Strongly Disagree</w:t>
      </w:r>
      <w:r w:rsidRPr="00FF16F2">
        <w:rPr>
          <w:rFonts w:eastAsia="Times New Roman"/>
          <w:sz w:val="24"/>
          <w:szCs w:val="24"/>
        </w:rPr>
        <w:t>.</w:t>
      </w:r>
    </w:p>
    <w:p w14:paraId="362B306B" w14:textId="77777777" w:rsidR="004866DA" w:rsidRPr="00FF16F2" w:rsidRDefault="004866DA" w:rsidP="004866DA">
      <w:pPr>
        <w:rPr>
          <w:rFonts w:eastAsia="Times New Roman"/>
          <w:sz w:val="24"/>
          <w:szCs w:val="24"/>
        </w:rPr>
      </w:pPr>
    </w:p>
    <w:p w14:paraId="31ED39D6" w14:textId="77777777" w:rsidR="004866DA" w:rsidRPr="00FF16F2" w:rsidRDefault="004866DA" w:rsidP="004866DA">
      <w:pPr>
        <w:rPr>
          <w:rFonts w:eastAsia="Times New Roman"/>
          <w:b/>
          <w:bCs/>
          <w:i/>
          <w:iCs/>
          <w:sz w:val="24"/>
          <w:szCs w:val="24"/>
          <w:u w:val="single"/>
        </w:rPr>
      </w:pPr>
      <w:r w:rsidRPr="00FF16F2">
        <w:rPr>
          <w:rFonts w:eastAsia="Times New Roman"/>
          <w:b/>
          <w:bCs/>
          <w:i/>
          <w:iCs/>
          <w:sz w:val="24"/>
          <w:szCs w:val="24"/>
          <w:u w:val="single"/>
        </w:rPr>
        <w:t>The Respondent Sample:</w:t>
      </w:r>
    </w:p>
    <w:p w14:paraId="74D08CB9" w14:textId="77777777" w:rsidR="004866DA" w:rsidRPr="00FF16F2" w:rsidRDefault="004866DA" w:rsidP="004866DA">
      <w:pPr>
        <w:rPr>
          <w:rFonts w:eastAsia="Times New Roman"/>
          <w:sz w:val="24"/>
          <w:szCs w:val="24"/>
        </w:rPr>
      </w:pPr>
      <w:r w:rsidRPr="00FF16F2">
        <w:rPr>
          <w:rFonts w:eastAsia="Times New Roman"/>
          <w:sz w:val="24"/>
          <w:szCs w:val="24"/>
        </w:rPr>
        <w:t>A total of fifteen respondents opened the survey to complete it but only eight completed most of it. Of the eight that completed most of the survey, five (62.5%) were supervisors and three (37.5%) were both supervisors and employers.</w:t>
      </w:r>
    </w:p>
    <w:p w14:paraId="7FB38812" w14:textId="77777777" w:rsidR="004866DA" w:rsidRPr="00FF16F2" w:rsidRDefault="004866DA" w:rsidP="004866DA">
      <w:pPr>
        <w:rPr>
          <w:rFonts w:eastAsia="Times New Roman"/>
          <w:sz w:val="24"/>
          <w:szCs w:val="24"/>
        </w:rPr>
      </w:pPr>
    </w:p>
    <w:p w14:paraId="257805EA" w14:textId="77777777" w:rsidR="004866DA" w:rsidRPr="00FF16F2" w:rsidRDefault="004866DA" w:rsidP="004866DA">
      <w:pPr>
        <w:rPr>
          <w:rFonts w:eastAsia="Times New Roman"/>
          <w:b/>
          <w:bCs/>
          <w:i/>
          <w:iCs/>
          <w:sz w:val="24"/>
          <w:szCs w:val="24"/>
          <w:u w:val="single"/>
        </w:rPr>
      </w:pPr>
      <w:r w:rsidRPr="00FF16F2">
        <w:rPr>
          <w:rFonts w:eastAsia="Times New Roman"/>
          <w:b/>
          <w:bCs/>
          <w:i/>
          <w:iCs/>
          <w:sz w:val="24"/>
          <w:szCs w:val="24"/>
          <w:u w:val="single"/>
        </w:rPr>
        <w:t xml:space="preserve">Results and Meaningful Changes </w:t>
      </w:r>
      <w:r w:rsidRPr="00FF16F2">
        <w:rPr>
          <w:rFonts w:eastAsia="Calibri"/>
          <w:i/>
          <w:iCs/>
          <w:sz w:val="24"/>
          <w:szCs w:val="24"/>
          <w:u w:val="single"/>
        </w:rPr>
        <w:t>(See attached document for full report, appendix D).</w:t>
      </w:r>
    </w:p>
    <w:p w14:paraId="0887A0BA" w14:textId="77777777" w:rsidR="004866DA" w:rsidRPr="00FF16F2" w:rsidRDefault="004866DA" w:rsidP="004866DA">
      <w:pPr>
        <w:rPr>
          <w:rFonts w:eastAsia="Times New Roman"/>
          <w:sz w:val="24"/>
          <w:szCs w:val="24"/>
        </w:rPr>
      </w:pPr>
      <w:r w:rsidRPr="00FF16F2">
        <w:rPr>
          <w:rFonts w:eastAsia="Times New Roman"/>
          <w:sz w:val="24"/>
          <w:szCs w:val="24"/>
        </w:rPr>
        <w:t>Of the eight respondents who completed most of the survey, only seven responded to the questions regarding desirability to hire graduates. Four respondents (57.1%) indicated they had hired graduates and three (42.9%) indicated they had not. Most respondents – six out of seven (85.7%) – indicated they were not planning to hire a graduate soon but most – six out of seven (85.7%) – indicated that they would be willing to do so if able.</w:t>
      </w:r>
    </w:p>
    <w:p w14:paraId="562DB452" w14:textId="77777777" w:rsidR="004866DA" w:rsidRPr="00FF16F2" w:rsidRDefault="004866DA" w:rsidP="004866DA">
      <w:pPr>
        <w:rPr>
          <w:rFonts w:eastAsia="Times New Roman"/>
          <w:sz w:val="24"/>
          <w:szCs w:val="24"/>
        </w:rPr>
      </w:pPr>
    </w:p>
    <w:p w14:paraId="326B82D5" w14:textId="34523338" w:rsidR="004866DA" w:rsidRPr="00FF16F2" w:rsidRDefault="004866DA" w:rsidP="004866DA">
      <w:pPr>
        <w:rPr>
          <w:rFonts w:eastAsia="Times New Roman"/>
          <w:sz w:val="24"/>
          <w:szCs w:val="24"/>
        </w:rPr>
      </w:pPr>
      <w:r w:rsidRPr="00FF16F2">
        <w:rPr>
          <w:rFonts w:eastAsia="Times New Roman"/>
          <w:sz w:val="24"/>
          <w:szCs w:val="24"/>
        </w:rPr>
        <w:t xml:space="preserve">For five (i.e., lifespan and human development, multiculturalism, individual counseling, group counseling, and professional identity) of the nine questions pertaining to students’ knowledge and skills in the eight core areas of CACREP’s curriculum, respondents indicated strong agreement or agreement with the statements. For three (i.e., consultation, assessment and evaluation, and research methods and statistics) of the nine questions, respondents indicated a range of strong agreement to neutrality with the statements. For one (i.e., career counseling) of the nine questions, respondents indicated a range of strong agreement to strong disagreement with the statement. Supervisors and employers view students to have strong knowledge and skills in the areas of lifespan and human development, multicultural counseling competence, individual and group counseling, and professional identity. These professionals view students to have strong to moderate knowledge and skills in the areas of consultation, assessment and evaluation, and research methods and statistics. These professionals view students to have the weakest knowledge and skills in career counseling. Refer to </w:t>
      </w:r>
      <w:r w:rsidR="00DA6C05">
        <w:rPr>
          <w:rFonts w:eastAsia="Times New Roman"/>
          <w:sz w:val="24"/>
          <w:szCs w:val="24"/>
        </w:rPr>
        <w:t xml:space="preserve">the following </w:t>
      </w:r>
      <w:r w:rsidR="00F25692">
        <w:rPr>
          <w:rFonts w:eastAsia="Times New Roman"/>
          <w:sz w:val="24"/>
          <w:szCs w:val="24"/>
        </w:rPr>
        <w:t>table</w:t>
      </w:r>
      <w:r w:rsidRPr="009B5510">
        <w:rPr>
          <w:rFonts w:eastAsia="Times New Roman"/>
          <w:sz w:val="24"/>
          <w:szCs w:val="24"/>
        </w:rPr>
        <w:t xml:space="preserve"> for</w:t>
      </w:r>
      <w:r w:rsidRPr="00FF16F2">
        <w:rPr>
          <w:rFonts w:eastAsia="Times New Roman"/>
          <w:sz w:val="24"/>
          <w:szCs w:val="24"/>
        </w:rPr>
        <w:t xml:space="preserve"> respondents’ score ranges, averages, and standard deviations.</w:t>
      </w:r>
    </w:p>
    <w:p w14:paraId="6187056F" w14:textId="77777777" w:rsidR="004866DA" w:rsidRPr="00FF16F2" w:rsidRDefault="004866DA" w:rsidP="004866DA">
      <w:pPr>
        <w:rPr>
          <w:rFonts w:eastAsia="Times New Roman"/>
          <w:sz w:val="24"/>
          <w:szCs w:val="24"/>
        </w:rPr>
      </w:pPr>
    </w:p>
    <w:p w14:paraId="13E86E49" w14:textId="77777777" w:rsidR="004866DA" w:rsidRPr="00FF16F2" w:rsidRDefault="004866DA" w:rsidP="004866DA">
      <w:pPr>
        <w:rPr>
          <w:rFonts w:eastAsia="Times New Roman"/>
          <w:b/>
          <w:bCs/>
          <w:sz w:val="24"/>
          <w:szCs w:val="24"/>
          <w:u w:val="single"/>
        </w:rPr>
      </w:pPr>
      <w:r w:rsidRPr="00FF16F2">
        <w:rPr>
          <w:rFonts w:eastAsia="Times New Roman"/>
          <w:b/>
          <w:bCs/>
          <w:sz w:val="24"/>
          <w:szCs w:val="24"/>
          <w:u w:val="single"/>
        </w:rPr>
        <w:t>Meaningful Change:</w:t>
      </w:r>
    </w:p>
    <w:p w14:paraId="56DB9CC4" w14:textId="03349D50" w:rsidR="004866DA" w:rsidRDefault="004866DA" w:rsidP="004866DA">
      <w:pPr>
        <w:rPr>
          <w:rFonts w:eastAsia="Times New Roman"/>
          <w:sz w:val="24"/>
          <w:szCs w:val="24"/>
        </w:rPr>
      </w:pPr>
      <w:r w:rsidRPr="00FF16F2">
        <w:rPr>
          <w:rFonts w:eastAsia="Times New Roman"/>
          <w:sz w:val="24"/>
          <w:szCs w:val="24"/>
        </w:rPr>
        <w:t>Update survey questions to include item to clarify respondents’ ability to hire.</w:t>
      </w:r>
    </w:p>
    <w:p w14:paraId="1483B798" w14:textId="1C26F82C" w:rsidR="00F923DB" w:rsidRDefault="00F923DB" w:rsidP="004866DA">
      <w:pPr>
        <w:rPr>
          <w:rFonts w:eastAsia="Times New Roman"/>
          <w:sz w:val="24"/>
          <w:szCs w:val="24"/>
        </w:rPr>
      </w:pPr>
    </w:p>
    <w:p w14:paraId="4219F886" w14:textId="36C55F70" w:rsidR="004866DA" w:rsidRPr="00815F5A" w:rsidRDefault="00F923DB" w:rsidP="004866DA">
      <w:pPr>
        <w:rPr>
          <w:rFonts w:eastAsia="Times New Roman"/>
          <w:b/>
          <w:bCs/>
          <w:sz w:val="24"/>
          <w:szCs w:val="24"/>
        </w:rPr>
      </w:pPr>
      <w:r w:rsidRPr="00815F5A">
        <w:rPr>
          <w:rFonts w:eastAsia="Times New Roman"/>
          <w:sz w:val="24"/>
          <w:szCs w:val="24"/>
        </w:rPr>
        <w:t>Table</w:t>
      </w:r>
      <w:r w:rsidR="00F25692">
        <w:rPr>
          <w:rFonts w:eastAsia="Times New Roman"/>
          <w:sz w:val="24"/>
          <w:szCs w:val="24"/>
        </w:rPr>
        <w:t>.</w:t>
      </w:r>
      <w:r w:rsidRPr="00815F5A">
        <w:rPr>
          <w:rFonts w:eastAsia="Times New Roman"/>
          <w:sz w:val="24"/>
          <w:szCs w:val="24"/>
        </w:rPr>
        <w:t xml:space="preserve"> Supervisor/Employer Scores to Statements of Graduates’ Counseling Competence</w:t>
      </w:r>
      <w:bookmarkStart w:id="0" w:name="_Hlk97806472"/>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F923DB" w14:paraId="01D02BAF" w14:textId="77777777" w:rsidTr="00D15BBB">
        <w:tc>
          <w:tcPr>
            <w:tcW w:w="2337" w:type="dxa"/>
            <w:shd w:val="clear" w:color="auto" w:fill="auto"/>
            <w:vAlign w:val="center"/>
          </w:tcPr>
          <w:p w14:paraId="71035C04" w14:textId="77777777" w:rsidR="00F923DB" w:rsidRDefault="00F923DB" w:rsidP="00D15BBB">
            <w:pPr>
              <w:jc w:val="center"/>
              <w:rPr>
                <w:sz w:val="22"/>
                <w:szCs w:val="22"/>
              </w:rPr>
            </w:pPr>
            <w:r>
              <w:rPr>
                <w:sz w:val="22"/>
                <w:szCs w:val="22"/>
              </w:rPr>
              <w:lastRenderedPageBreak/>
              <w:t>Question</w:t>
            </w:r>
          </w:p>
        </w:tc>
        <w:tc>
          <w:tcPr>
            <w:tcW w:w="2337" w:type="dxa"/>
            <w:shd w:val="clear" w:color="auto" w:fill="auto"/>
            <w:vAlign w:val="center"/>
          </w:tcPr>
          <w:p w14:paraId="28EE0B94" w14:textId="77777777" w:rsidR="00F923DB" w:rsidRDefault="00F923DB" w:rsidP="00D15BBB">
            <w:pPr>
              <w:jc w:val="center"/>
              <w:rPr>
                <w:sz w:val="22"/>
                <w:szCs w:val="22"/>
              </w:rPr>
            </w:pPr>
            <w:r>
              <w:rPr>
                <w:sz w:val="22"/>
                <w:szCs w:val="22"/>
              </w:rPr>
              <w:t>Range</w:t>
            </w:r>
          </w:p>
        </w:tc>
        <w:tc>
          <w:tcPr>
            <w:tcW w:w="2338" w:type="dxa"/>
            <w:shd w:val="clear" w:color="auto" w:fill="auto"/>
            <w:vAlign w:val="center"/>
          </w:tcPr>
          <w:p w14:paraId="4F3EE5A3" w14:textId="77777777" w:rsidR="00F923DB" w:rsidRDefault="00F923DB" w:rsidP="00D15BBB">
            <w:pPr>
              <w:jc w:val="center"/>
              <w:rPr>
                <w:sz w:val="22"/>
                <w:szCs w:val="22"/>
              </w:rPr>
            </w:pPr>
            <w:r>
              <w:rPr>
                <w:sz w:val="22"/>
                <w:szCs w:val="22"/>
              </w:rPr>
              <w:t>Mean</w:t>
            </w:r>
          </w:p>
        </w:tc>
        <w:tc>
          <w:tcPr>
            <w:tcW w:w="2338" w:type="dxa"/>
            <w:shd w:val="clear" w:color="auto" w:fill="auto"/>
            <w:vAlign w:val="center"/>
          </w:tcPr>
          <w:p w14:paraId="3AFC72E2" w14:textId="77777777" w:rsidR="00F923DB" w:rsidRDefault="00F923DB" w:rsidP="00D15BBB">
            <w:pPr>
              <w:jc w:val="center"/>
              <w:rPr>
                <w:sz w:val="22"/>
                <w:szCs w:val="22"/>
              </w:rPr>
            </w:pPr>
            <w:r>
              <w:rPr>
                <w:sz w:val="22"/>
                <w:szCs w:val="22"/>
              </w:rPr>
              <w:t>Standard Deviation</w:t>
            </w:r>
          </w:p>
        </w:tc>
      </w:tr>
      <w:tr w:rsidR="00F923DB" w14:paraId="29283356" w14:textId="77777777" w:rsidTr="00D15BBB">
        <w:tc>
          <w:tcPr>
            <w:tcW w:w="2337" w:type="dxa"/>
            <w:shd w:val="clear" w:color="auto" w:fill="auto"/>
          </w:tcPr>
          <w:p w14:paraId="2A289B69" w14:textId="77777777" w:rsidR="00F923DB" w:rsidRDefault="00F923DB" w:rsidP="00D15BBB">
            <w:pPr>
              <w:rPr>
                <w:sz w:val="22"/>
                <w:szCs w:val="22"/>
              </w:rPr>
            </w:pPr>
            <w:r>
              <w:rPr>
                <w:sz w:val="22"/>
                <w:szCs w:val="22"/>
              </w:rPr>
              <w:t>The graduate demonstrates the knowledge and skills to meet the needs of individuals and families at all levels of the developmental life span</w:t>
            </w:r>
          </w:p>
        </w:tc>
        <w:tc>
          <w:tcPr>
            <w:tcW w:w="2337" w:type="dxa"/>
            <w:shd w:val="clear" w:color="auto" w:fill="auto"/>
            <w:vAlign w:val="center"/>
          </w:tcPr>
          <w:p w14:paraId="72DEE5E2" w14:textId="77777777" w:rsidR="00F923DB" w:rsidRDefault="00F923DB" w:rsidP="00D15BBB">
            <w:pPr>
              <w:jc w:val="center"/>
              <w:rPr>
                <w:sz w:val="22"/>
                <w:szCs w:val="22"/>
              </w:rPr>
            </w:pPr>
            <w:r>
              <w:rPr>
                <w:sz w:val="22"/>
                <w:szCs w:val="22"/>
              </w:rPr>
              <w:t xml:space="preserve">1 – 2 </w:t>
            </w:r>
          </w:p>
        </w:tc>
        <w:tc>
          <w:tcPr>
            <w:tcW w:w="2338" w:type="dxa"/>
            <w:shd w:val="clear" w:color="auto" w:fill="auto"/>
            <w:vAlign w:val="center"/>
          </w:tcPr>
          <w:p w14:paraId="6C25FEAB" w14:textId="77777777" w:rsidR="00F923DB" w:rsidRDefault="00F923DB" w:rsidP="00D15BBB">
            <w:pPr>
              <w:jc w:val="center"/>
              <w:rPr>
                <w:sz w:val="22"/>
                <w:szCs w:val="22"/>
              </w:rPr>
            </w:pPr>
            <w:r>
              <w:rPr>
                <w:sz w:val="22"/>
                <w:szCs w:val="22"/>
              </w:rPr>
              <w:t>1.63</w:t>
            </w:r>
          </w:p>
        </w:tc>
        <w:tc>
          <w:tcPr>
            <w:tcW w:w="2338" w:type="dxa"/>
            <w:shd w:val="clear" w:color="auto" w:fill="auto"/>
            <w:vAlign w:val="center"/>
          </w:tcPr>
          <w:p w14:paraId="08A7D1CC" w14:textId="77777777" w:rsidR="00F923DB" w:rsidRDefault="00F923DB" w:rsidP="00D15BBB">
            <w:pPr>
              <w:jc w:val="center"/>
              <w:rPr>
                <w:sz w:val="22"/>
                <w:szCs w:val="22"/>
              </w:rPr>
            </w:pPr>
            <w:r>
              <w:rPr>
                <w:sz w:val="22"/>
                <w:szCs w:val="22"/>
              </w:rPr>
              <w:t>0.48</w:t>
            </w:r>
          </w:p>
        </w:tc>
      </w:tr>
      <w:tr w:rsidR="00F923DB" w14:paraId="48AB8EF0" w14:textId="77777777" w:rsidTr="00D15BBB">
        <w:tc>
          <w:tcPr>
            <w:tcW w:w="2337" w:type="dxa"/>
            <w:shd w:val="clear" w:color="auto" w:fill="auto"/>
          </w:tcPr>
          <w:p w14:paraId="064634E0" w14:textId="77777777" w:rsidR="00F923DB" w:rsidRDefault="00F923DB" w:rsidP="00D15BBB">
            <w:pPr>
              <w:rPr>
                <w:sz w:val="22"/>
                <w:szCs w:val="22"/>
              </w:rPr>
            </w:pPr>
            <w:r>
              <w:rPr>
                <w:sz w:val="22"/>
                <w:szCs w:val="22"/>
              </w:rPr>
              <w:t>The graduate demonstrates knowledge and skills to be effective in a multicultural and diverse society</w:t>
            </w:r>
          </w:p>
        </w:tc>
        <w:tc>
          <w:tcPr>
            <w:tcW w:w="2337" w:type="dxa"/>
            <w:shd w:val="clear" w:color="auto" w:fill="auto"/>
            <w:vAlign w:val="center"/>
          </w:tcPr>
          <w:p w14:paraId="4E67258E" w14:textId="77777777" w:rsidR="00F923DB" w:rsidRDefault="00F923DB" w:rsidP="00D15BBB">
            <w:pPr>
              <w:jc w:val="center"/>
              <w:rPr>
                <w:sz w:val="22"/>
                <w:szCs w:val="22"/>
              </w:rPr>
            </w:pPr>
            <w:r>
              <w:rPr>
                <w:sz w:val="22"/>
                <w:szCs w:val="22"/>
              </w:rPr>
              <w:t>1 – 2</w:t>
            </w:r>
          </w:p>
        </w:tc>
        <w:tc>
          <w:tcPr>
            <w:tcW w:w="2338" w:type="dxa"/>
            <w:shd w:val="clear" w:color="auto" w:fill="auto"/>
            <w:vAlign w:val="center"/>
          </w:tcPr>
          <w:p w14:paraId="66188A8E" w14:textId="77777777" w:rsidR="00F923DB" w:rsidRDefault="00F923DB" w:rsidP="00D15BBB">
            <w:pPr>
              <w:jc w:val="center"/>
              <w:rPr>
                <w:sz w:val="22"/>
                <w:szCs w:val="22"/>
              </w:rPr>
            </w:pPr>
            <w:r>
              <w:rPr>
                <w:sz w:val="22"/>
                <w:szCs w:val="22"/>
              </w:rPr>
              <w:t>1.75</w:t>
            </w:r>
          </w:p>
        </w:tc>
        <w:tc>
          <w:tcPr>
            <w:tcW w:w="2338" w:type="dxa"/>
            <w:shd w:val="clear" w:color="auto" w:fill="auto"/>
            <w:vAlign w:val="center"/>
          </w:tcPr>
          <w:p w14:paraId="56885ED9" w14:textId="77777777" w:rsidR="00F923DB" w:rsidRDefault="00F923DB" w:rsidP="00D15BBB">
            <w:pPr>
              <w:jc w:val="center"/>
              <w:rPr>
                <w:sz w:val="22"/>
                <w:szCs w:val="22"/>
              </w:rPr>
            </w:pPr>
            <w:r>
              <w:rPr>
                <w:sz w:val="22"/>
                <w:szCs w:val="22"/>
              </w:rPr>
              <w:t>0.43</w:t>
            </w:r>
          </w:p>
        </w:tc>
      </w:tr>
      <w:tr w:rsidR="00F923DB" w14:paraId="0DC2BA5B" w14:textId="77777777" w:rsidTr="00D15BBB">
        <w:tc>
          <w:tcPr>
            <w:tcW w:w="2337" w:type="dxa"/>
            <w:shd w:val="clear" w:color="auto" w:fill="auto"/>
          </w:tcPr>
          <w:p w14:paraId="78975A6F" w14:textId="77777777" w:rsidR="00F923DB" w:rsidRDefault="00F923DB" w:rsidP="00D15BBB">
            <w:pPr>
              <w:rPr>
                <w:sz w:val="22"/>
                <w:szCs w:val="22"/>
              </w:rPr>
            </w:pPr>
            <w:r>
              <w:rPr>
                <w:sz w:val="22"/>
                <w:szCs w:val="22"/>
              </w:rPr>
              <w:t>The graduate demonstrates knowledge and skills to provide effective individual counseling</w:t>
            </w:r>
          </w:p>
        </w:tc>
        <w:tc>
          <w:tcPr>
            <w:tcW w:w="2337" w:type="dxa"/>
            <w:shd w:val="clear" w:color="auto" w:fill="auto"/>
            <w:vAlign w:val="center"/>
          </w:tcPr>
          <w:p w14:paraId="61755EF1" w14:textId="77777777" w:rsidR="00F923DB" w:rsidRDefault="00F923DB" w:rsidP="00D15BBB">
            <w:pPr>
              <w:jc w:val="center"/>
              <w:rPr>
                <w:sz w:val="22"/>
                <w:szCs w:val="22"/>
              </w:rPr>
            </w:pPr>
            <w:r>
              <w:rPr>
                <w:sz w:val="22"/>
                <w:szCs w:val="22"/>
              </w:rPr>
              <w:t>1 – 2</w:t>
            </w:r>
          </w:p>
        </w:tc>
        <w:tc>
          <w:tcPr>
            <w:tcW w:w="2338" w:type="dxa"/>
            <w:shd w:val="clear" w:color="auto" w:fill="auto"/>
            <w:vAlign w:val="center"/>
          </w:tcPr>
          <w:p w14:paraId="6EC81EE3" w14:textId="77777777" w:rsidR="00F923DB" w:rsidRDefault="00F923DB" w:rsidP="00D15BBB">
            <w:pPr>
              <w:jc w:val="center"/>
              <w:rPr>
                <w:sz w:val="22"/>
                <w:szCs w:val="22"/>
              </w:rPr>
            </w:pPr>
            <w:r>
              <w:rPr>
                <w:sz w:val="22"/>
                <w:szCs w:val="22"/>
              </w:rPr>
              <w:t>1.50</w:t>
            </w:r>
          </w:p>
        </w:tc>
        <w:tc>
          <w:tcPr>
            <w:tcW w:w="2338" w:type="dxa"/>
            <w:shd w:val="clear" w:color="auto" w:fill="auto"/>
            <w:vAlign w:val="center"/>
          </w:tcPr>
          <w:p w14:paraId="0E55D46B" w14:textId="77777777" w:rsidR="00F923DB" w:rsidRDefault="00F923DB" w:rsidP="00D15BBB">
            <w:pPr>
              <w:jc w:val="center"/>
              <w:rPr>
                <w:sz w:val="22"/>
                <w:szCs w:val="22"/>
              </w:rPr>
            </w:pPr>
            <w:r>
              <w:rPr>
                <w:sz w:val="22"/>
                <w:szCs w:val="22"/>
              </w:rPr>
              <w:t>0.50</w:t>
            </w:r>
          </w:p>
        </w:tc>
      </w:tr>
      <w:tr w:rsidR="00F923DB" w14:paraId="58E4F354" w14:textId="77777777" w:rsidTr="00D15BBB">
        <w:tc>
          <w:tcPr>
            <w:tcW w:w="2337" w:type="dxa"/>
            <w:shd w:val="clear" w:color="auto" w:fill="auto"/>
          </w:tcPr>
          <w:p w14:paraId="0273F25B" w14:textId="77777777" w:rsidR="00F923DB" w:rsidRDefault="00F923DB" w:rsidP="00D15BBB">
            <w:pPr>
              <w:rPr>
                <w:sz w:val="22"/>
                <w:szCs w:val="22"/>
              </w:rPr>
            </w:pPr>
            <w:r>
              <w:rPr>
                <w:sz w:val="22"/>
                <w:szCs w:val="22"/>
              </w:rPr>
              <w:t>The graduate demonstrates knowledge and skills to provide effective consultation services</w:t>
            </w:r>
          </w:p>
        </w:tc>
        <w:tc>
          <w:tcPr>
            <w:tcW w:w="2337" w:type="dxa"/>
            <w:shd w:val="clear" w:color="auto" w:fill="auto"/>
            <w:vAlign w:val="center"/>
          </w:tcPr>
          <w:p w14:paraId="35253080" w14:textId="77777777" w:rsidR="00F923DB" w:rsidRDefault="00F923DB" w:rsidP="00D15BBB">
            <w:pPr>
              <w:jc w:val="center"/>
              <w:rPr>
                <w:sz w:val="22"/>
                <w:szCs w:val="22"/>
              </w:rPr>
            </w:pPr>
            <w:r>
              <w:rPr>
                <w:sz w:val="22"/>
                <w:szCs w:val="22"/>
              </w:rPr>
              <w:t>1 – 3</w:t>
            </w:r>
          </w:p>
        </w:tc>
        <w:tc>
          <w:tcPr>
            <w:tcW w:w="2338" w:type="dxa"/>
            <w:shd w:val="clear" w:color="auto" w:fill="auto"/>
            <w:vAlign w:val="center"/>
          </w:tcPr>
          <w:p w14:paraId="6EC2751E" w14:textId="77777777" w:rsidR="00F923DB" w:rsidRDefault="00F923DB" w:rsidP="00D15BBB">
            <w:pPr>
              <w:jc w:val="center"/>
              <w:rPr>
                <w:sz w:val="22"/>
                <w:szCs w:val="22"/>
              </w:rPr>
            </w:pPr>
            <w:r>
              <w:rPr>
                <w:sz w:val="22"/>
                <w:szCs w:val="22"/>
              </w:rPr>
              <w:t>1.75</w:t>
            </w:r>
          </w:p>
        </w:tc>
        <w:tc>
          <w:tcPr>
            <w:tcW w:w="2338" w:type="dxa"/>
            <w:shd w:val="clear" w:color="auto" w:fill="auto"/>
            <w:vAlign w:val="center"/>
          </w:tcPr>
          <w:p w14:paraId="3513EFD8" w14:textId="77777777" w:rsidR="00F923DB" w:rsidRDefault="00F923DB" w:rsidP="00D15BBB">
            <w:pPr>
              <w:jc w:val="center"/>
              <w:rPr>
                <w:sz w:val="22"/>
                <w:szCs w:val="22"/>
              </w:rPr>
            </w:pPr>
            <w:r>
              <w:rPr>
                <w:sz w:val="22"/>
                <w:szCs w:val="22"/>
              </w:rPr>
              <w:t>0.66</w:t>
            </w:r>
          </w:p>
        </w:tc>
      </w:tr>
      <w:tr w:rsidR="00F923DB" w14:paraId="1C93CF15" w14:textId="77777777" w:rsidTr="00D15BBB">
        <w:tc>
          <w:tcPr>
            <w:tcW w:w="2337" w:type="dxa"/>
            <w:shd w:val="clear" w:color="auto" w:fill="auto"/>
          </w:tcPr>
          <w:p w14:paraId="6257D0C1" w14:textId="77777777" w:rsidR="00F923DB" w:rsidRDefault="00F923DB" w:rsidP="00D15BBB">
            <w:pPr>
              <w:rPr>
                <w:sz w:val="22"/>
                <w:szCs w:val="22"/>
              </w:rPr>
            </w:pPr>
            <w:r>
              <w:rPr>
                <w:sz w:val="22"/>
                <w:szCs w:val="22"/>
              </w:rPr>
              <w:t>The graduate demonstrates knowledge and skills to provide effective group counseling</w:t>
            </w:r>
          </w:p>
        </w:tc>
        <w:tc>
          <w:tcPr>
            <w:tcW w:w="2337" w:type="dxa"/>
            <w:shd w:val="clear" w:color="auto" w:fill="auto"/>
            <w:vAlign w:val="center"/>
          </w:tcPr>
          <w:p w14:paraId="5DF063E3" w14:textId="77777777" w:rsidR="00F923DB" w:rsidRDefault="00F923DB" w:rsidP="00D15BBB">
            <w:pPr>
              <w:jc w:val="center"/>
              <w:rPr>
                <w:sz w:val="22"/>
                <w:szCs w:val="22"/>
              </w:rPr>
            </w:pPr>
            <w:r>
              <w:rPr>
                <w:sz w:val="22"/>
                <w:szCs w:val="22"/>
              </w:rPr>
              <w:t>1 – 2</w:t>
            </w:r>
          </w:p>
        </w:tc>
        <w:tc>
          <w:tcPr>
            <w:tcW w:w="2338" w:type="dxa"/>
            <w:shd w:val="clear" w:color="auto" w:fill="auto"/>
            <w:vAlign w:val="center"/>
          </w:tcPr>
          <w:p w14:paraId="6A34EB41" w14:textId="77777777" w:rsidR="00F923DB" w:rsidRDefault="00F923DB" w:rsidP="00D15BBB">
            <w:pPr>
              <w:jc w:val="center"/>
              <w:rPr>
                <w:sz w:val="22"/>
                <w:szCs w:val="22"/>
              </w:rPr>
            </w:pPr>
            <w:r>
              <w:rPr>
                <w:sz w:val="22"/>
                <w:szCs w:val="22"/>
              </w:rPr>
              <w:t>1.63</w:t>
            </w:r>
          </w:p>
        </w:tc>
        <w:tc>
          <w:tcPr>
            <w:tcW w:w="2338" w:type="dxa"/>
            <w:shd w:val="clear" w:color="auto" w:fill="auto"/>
            <w:vAlign w:val="center"/>
          </w:tcPr>
          <w:p w14:paraId="0B321D1E" w14:textId="77777777" w:rsidR="00F923DB" w:rsidRDefault="00F923DB" w:rsidP="00D15BBB">
            <w:pPr>
              <w:jc w:val="center"/>
              <w:rPr>
                <w:sz w:val="22"/>
                <w:szCs w:val="22"/>
              </w:rPr>
            </w:pPr>
            <w:r>
              <w:rPr>
                <w:sz w:val="22"/>
                <w:szCs w:val="22"/>
              </w:rPr>
              <w:t>0.48</w:t>
            </w:r>
          </w:p>
        </w:tc>
      </w:tr>
      <w:tr w:rsidR="00F923DB" w14:paraId="6C09A945" w14:textId="77777777" w:rsidTr="00D15BBB">
        <w:tc>
          <w:tcPr>
            <w:tcW w:w="2337" w:type="dxa"/>
            <w:shd w:val="clear" w:color="auto" w:fill="auto"/>
          </w:tcPr>
          <w:p w14:paraId="6D7C2188" w14:textId="77777777" w:rsidR="00F923DB" w:rsidRDefault="00F923DB" w:rsidP="00D15BBB">
            <w:pPr>
              <w:rPr>
                <w:sz w:val="22"/>
                <w:szCs w:val="22"/>
              </w:rPr>
            </w:pPr>
            <w:r>
              <w:rPr>
                <w:sz w:val="22"/>
                <w:szCs w:val="22"/>
              </w:rPr>
              <w:t>The graduate demonstrates knowledge and skills to provide effective career counseling</w:t>
            </w:r>
          </w:p>
        </w:tc>
        <w:tc>
          <w:tcPr>
            <w:tcW w:w="2337" w:type="dxa"/>
            <w:shd w:val="clear" w:color="auto" w:fill="auto"/>
            <w:vAlign w:val="center"/>
          </w:tcPr>
          <w:p w14:paraId="4E1F547E" w14:textId="77777777" w:rsidR="00F923DB" w:rsidRDefault="00F923DB" w:rsidP="00D15BBB">
            <w:pPr>
              <w:jc w:val="center"/>
              <w:rPr>
                <w:sz w:val="22"/>
                <w:szCs w:val="22"/>
              </w:rPr>
            </w:pPr>
            <w:r>
              <w:rPr>
                <w:sz w:val="22"/>
                <w:szCs w:val="22"/>
              </w:rPr>
              <w:t>1 – 5</w:t>
            </w:r>
          </w:p>
        </w:tc>
        <w:tc>
          <w:tcPr>
            <w:tcW w:w="2338" w:type="dxa"/>
            <w:shd w:val="clear" w:color="auto" w:fill="auto"/>
            <w:vAlign w:val="center"/>
          </w:tcPr>
          <w:p w14:paraId="22F949CE" w14:textId="77777777" w:rsidR="00F923DB" w:rsidRDefault="00F923DB" w:rsidP="00D15BBB">
            <w:pPr>
              <w:jc w:val="center"/>
              <w:rPr>
                <w:sz w:val="22"/>
                <w:szCs w:val="22"/>
              </w:rPr>
            </w:pPr>
            <w:r>
              <w:rPr>
                <w:sz w:val="22"/>
                <w:szCs w:val="22"/>
              </w:rPr>
              <w:t>2.38</w:t>
            </w:r>
          </w:p>
        </w:tc>
        <w:tc>
          <w:tcPr>
            <w:tcW w:w="2338" w:type="dxa"/>
            <w:shd w:val="clear" w:color="auto" w:fill="auto"/>
            <w:vAlign w:val="center"/>
          </w:tcPr>
          <w:p w14:paraId="50912A1E" w14:textId="77777777" w:rsidR="00F923DB" w:rsidRDefault="00F923DB" w:rsidP="00D15BBB">
            <w:pPr>
              <w:jc w:val="center"/>
              <w:rPr>
                <w:sz w:val="22"/>
                <w:szCs w:val="22"/>
              </w:rPr>
            </w:pPr>
            <w:r>
              <w:rPr>
                <w:sz w:val="22"/>
                <w:szCs w:val="22"/>
              </w:rPr>
              <w:t>1.22</w:t>
            </w:r>
          </w:p>
        </w:tc>
      </w:tr>
      <w:tr w:rsidR="00F923DB" w14:paraId="76DD7591" w14:textId="77777777" w:rsidTr="00D15BBB">
        <w:tc>
          <w:tcPr>
            <w:tcW w:w="2337" w:type="dxa"/>
            <w:shd w:val="clear" w:color="auto" w:fill="auto"/>
          </w:tcPr>
          <w:p w14:paraId="49AFBD3E" w14:textId="77777777" w:rsidR="00F923DB" w:rsidRDefault="00F923DB" w:rsidP="00D15BBB">
            <w:pPr>
              <w:rPr>
                <w:sz w:val="22"/>
                <w:szCs w:val="22"/>
              </w:rPr>
            </w:pPr>
            <w:r>
              <w:rPr>
                <w:sz w:val="22"/>
                <w:szCs w:val="22"/>
              </w:rPr>
              <w:t>The graduate demonstrates knowledge and skills to provide effective assessment and evaluation</w:t>
            </w:r>
          </w:p>
        </w:tc>
        <w:tc>
          <w:tcPr>
            <w:tcW w:w="2337" w:type="dxa"/>
            <w:shd w:val="clear" w:color="auto" w:fill="auto"/>
            <w:vAlign w:val="center"/>
          </w:tcPr>
          <w:p w14:paraId="75FBD30E" w14:textId="77777777" w:rsidR="00F923DB" w:rsidRDefault="00F923DB" w:rsidP="00D15BBB">
            <w:pPr>
              <w:jc w:val="center"/>
              <w:rPr>
                <w:sz w:val="22"/>
                <w:szCs w:val="22"/>
              </w:rPr>
            </w:pPr>
            <w:r>
              <w:rPr>
                <w:sz w:val="22"/>
                <w:szCs w:val="22"/>
              </w:rPr>
              <w:t>1 – 3</w:t>
            </w:r>
          </w:p>
        </w:tc>
        <w:tc>
          <w:tcPr>
            <w:tcW w:w="2338" w:type="dxa"/>
            <w:shd w:val="clear" w:color="auto" w:fill="auto"/>
            <w:vAlign w:val="center"/>
          </w:tcPr>
          <w:p w14:paraId="58DCB0A1" w14:textId="77777777" w:rsidR="00F923DB" w:rsidRDefault="00F923DB" w:rsidP="00D15BBB">
            <w:pPr>
              <w:jc w:val="center"/>
              <w:rPr>
                <w:sz w:val="22"/>
                <w:szCs w:val="22"/>
              </w:rPr>
            </w:pPr>
            <w:r>
              <w:rPr>
                <w:sz w:val="22"/>
                <w:szCs w:val="22"/>
              </w:rPr>
              <w:t>2.00</w:t>
            </w:r>
          </w:p>
        </w:tc>
        <w:tc>
          <w:tcPr>
            <w:tcW w:w="2338" w:type="dxa"/>
            <w:shd w:val="clear" w:color="auto" w:fill="auto"/>
            <w:vAlign w:val="center"/>
          </w:tcPr>
          <w:p w14:paraId="2570E3BC" w14:textId="77777777" w:rsidR="00F923DB" w:rsidRDefault="00F923DB" w:rsidP="00D15BBB">
            <w:pPr>
              <w:jc w:val="center"/>
              <w:rPr>
                <w:sz w:val="22"/>
                <w:szCs w:val="22"/>
              </w:rPr>
            </w:pPr>
            <w:r>
              <w:rPr>
                <w:sz w:val="22"/>
                <w:szCs w:val="22"/>
              </w:rPr>
              <w:t>0.71</w:t>
            </w:r>
          </w:p>
        </w:tc>
      </w:tr>
      <w:tr w:rsidR="00F923DB" w14:paraId="740C6D0E" w14:textId="77777777" w:rsidTr="00D15BBB">
        <w:tc>
          <w:tcPr>
            <w:tcW w:w="2337" w:type="dxa"/>
            <w:shd w:val="clear" w:color="auto" w:fill="auto"/>
          </w:tcPr>
          <w:p w14:paraId="28F42673" w14:textId="77777777" w:rsidR="00F923DB" w:rsidRDefault="00F923DB" w:rsidP="00D15BBB">
            <w:pPr>
              <w:rPr>
                <w:sz w:val="22"/>
                <w:szCs w:val="22"/>
              </w:rPr>
            </w:pPr>
            <w:r>
              <w:rPr>
                <w:sz w:val="22"/>
                <w:szCs w:val="22"/>
              </w:rPr>
              <w:t>The graduate demonstrates knowledge and skills to utilize research methods and basic statistics</w:t>
            </w:r>
          </w:p>
        </w:tc>
        <w:tc>
          <w:tcPr>
            <w:tcW w:w="2337" w:type="dxa"/>
            <w:shd w:val="clear" w:color="auto" w:fill="auto"/>
            <w:vAlign w:val="center"/>
          </w:tcPr>
          <w:p w14:paraId="3973DD79" w14:textId="77777777" w:rsidR="00F923DB" w:rsidRDefault="00F923DB" w:rsidP="00D15BBB">
            <w:pPr>
              <w:jc w:val="center"/>
              <w:rPr>
                <w:sz w:val="22"/>
                <w:szCs w:val="22"/>
              </w:rPr>
            </w:pPr>
            <w:r>
              <w:rPr>
                <w:sz w:val="22"/>
                <w:szCs w:val="22"/>
              </w:rPr>
              <w:t>1 – 3</w:t>
            </w:r>
          </w:p>
        </w:tc>
        <w:tc>
          <w:tcPr>
            <w:tcW w:w="2338" w:type="dxa"/>
            <w:shd w:val="clear" w:color="auto" w:fill="auto"/>
            <w:vAlign w:val="center"/>
          </w:tcPr>
          <w:p w14:paraId="2D0440AD" w14:textId="77777777" w:rsidR="00F923DB" w:rsidRDefault="00F923DB" w:rsidP="00D15BBB">
            <w:pPr>
              <w:jc w:val="center"/>
              <w:rPr>
                <w:sz w:val="22"/>
                <w:szCs w:val="22"/>
              </w:rPr>
            </w:pPr>
            <w:r>
              <w:rPr>
                <w:sz w:val="22"/>
                <w:szCs w:val="22"/>
              </w:rPr>
              <w:t>2.00</w:t>
            </w:r>
          </w:p>
        </w:tc>
        <w:tc>
          <w:tcPr>
            <w:tcW w:w="2338" w:type="dxa"/>
            <w:shd w:val="clear" w:color="auto" w:fill="auto"/>
            <w:vAlign w:val="center"/>
          </w:tcPr>
          <w:p w14:paraId="1731FEE6" w14:textId="77777777" w:rsidR="00F923DB" w:rsidRDefault="00F923DB" w:rsidP="00D15BBB">
            <w:pPr>
              <w:jc w:val="center"/>
              <w:rPr>
                <w:sz w:val="22"/>
                <w:szCs w:val="22"/>
              </w:rPr>
            </w:pPr>
            <w:r>
              <w:rPr>
                <w:sz w:val="22"/>
                <w:szCs w:val="22"/>
              </w:rPr>
              <w:t>0.71</w:t>
            </w:r>
          </w:p>
        </w:tc>
      </w:tr>
      <w:tr w:rsidR="00F923DB" w14:paraId="5172EF92" w14:textId="77777777" w:rsidTr="00D15BBB">
        <w:tc>
          <w:tcPr>
            <w:tcW w:w="2337" w:type="dxa"/>
            <w:shd w:val="clear" w:color="auto" w:fill="auto"/>
          </w:tcPr>
          <w:p w14:paraId="1BC0B86F" w14:textId="77777777" w:rsidR="00F923DB" w:rsidRDefault="00F923DB" w:rsidP="00D15BBB">
            <w:pPr>
              <w:rPr>
                <w:sz w:val="22"/>
                <w:szCs w:val="22"/>
              </w:rPr>
            </w:pPr>
            <w:r>
              <w:rPr>
                <w:sz w:val="22"/>
                <w:szCs w:val="22"/>
              </w:rPr>
              <w:t xml:space="preserve">The graduate demonstrates an alignment with a </w:t>
            </w:r>
            <w:r>
              <w:rPr>
                <w:sz w:val="22"/>
                <w:szCs w:val="22"/>
              </w:rPr>
              <w:lastRenderedPageBreak/>
              <w:t>professional counselor identity</w:t>
            </w:r>
          </w:p>
        </w:tc>
        <w:tc>
          <w:tcPr>
            <w:tcW w:w="2337" w:type="dxa"/>
            <w:shd w:val="clear" w:color="auto" w:fill="auto"/>
            <w:vAlign w:val="center"/>
          </w:tcPr>
          <w:p w14:paraId="4B704806" w14:textId="77777777" w:rsidR="00F923DB" w:rsidRDefault="00F923DB" w:rsidP="00D15BBB">
            <w:pPr>
              <w:jc w:val="center"/>
              <w:rPr>
                <w:sz w:val="22"/>
                <w:szCs w:val="22"/>
              </w:rPr>
            </w:pPr>
            <w:r>
              <w:rPr>
                <w:sz w:val="22"/>
                <w:szCs w:val="22"/>
              </w:rPr>
              <w:lastRenderedPageBreak/>
              <w:t>1 – 2</w:t>
            </w:r>
          </w:p>
        </w:tc>
        <w:tc>
          <w:tcPr>
            <w:tcW w:w="2338" w:type="dxa"/>
            <w:shd w:val="clear" w:color="auto" w:fill="auto"/>
            <w:vAlign w:val="center"/>
          </w:tcPr>
          <w:p w14:paraId="2D87F5E2" w14:textId="77777777" w:rsidR="00F923DB" w:rsidRDefault="00F923DB" w:rsidP="00D15BBB">
            <w:pPr>
              <w:jc w:val="center"/>
              <w:rPr>
                <w:sz w:val="22"/>
                <w:szCs w:val="22"/>
              </w:rPr>
            </w:pPr>
            <w:r>
              <w:rPr>
                <w:sz w:val="22"/>
                <w:szCs w:val="22"/>
              </w:rPr>
              <w:t>1.25</w:t>
            </w:r>
          </w:p>
        </w:tc>
        <w:tc>
          <w:tcPr>
            <w:tcW w:w="2338" w:type="dxa"/>
            <w:shd w:val="clear" w:color="auto" w:fill="auto"/>
            <w:vAlign w:val="center"/>
          </w:tcPr>
          <w:p w14:paraId="53F0A190" w14:textId="77777777" w:rsidR="00F923DB" w:rsidRDefault="00F923DB" w:rsidP="00D15BBB">
            <w:pPr>
              <w:jc w:val="center"/>
              <w:rPr>
                <w:sz w:val="22"/>
                <w:szCs w:val="22"/>
              </w:rPr>
            </w:pPr>
            <w:r>
              <w:rPr>
                <w:sz w:val="22"/>
                <w:szCs w:val="22"/>
              </w:rPr>
              <w:t>0.43</w:t>
            </w:r>
          </w:p>
        </w:tc>
      </w:tr>
      <w:bookmarkEnd w:id="0"/>
    </w:tbl>
    <w:p w14:paraId="5C6DA059" w14:textId="77777777" w:rsidR="00F923DB" w:rsidRDefault="00F923DB" w:rsidP="004866DA">
      <w:pPr>
        <w:rPr>
          <w:rFonts w:eastAsia="Times New Roman"/>
          <w:b/>
          <w:bCs/>
          <w:sz w:val="24"/>
          <w:szCs w:val="24"/>
        </w:rPr>
      </w:pPr>
    </w:p>
    <w:sectPr w:rsidR="00F92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1FA5A6"/>
    <w:multiLevelType w:val="hybridMultilevel"/>
    <w:tmpl w:val="10C62B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06366D"/>
    <w:multiLevelType w:val="hybridMultilevel"/>
    <w:tmpl w:val="4079D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F108A6"/>
    <w:multiLevelType w:val="hybridMultilevel"/>
    <w:tmpl w:val="986888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B11E9"/>
    <w:multiLevelType w:val="hybridMultilevel"/>
    <w:tmpl w:val="82E4C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58BC"/>
    <w:multiLevelType w:val="hybridMultilevel"/>
    <w:tmpl w:val="011B3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C33327"/>
    <w:multiLevelType w:val="hybridMultilevel"/>
    <w:tmpl w:val="451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528B9"/>
    <w:multiLevelType w:val="hybridMultilevel"/>
    <w:tmpl w:val="14125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31B4B"/>
    <w:multiLevelType w:val="hybridMultilevel"/>
    <w:tmpl w:val="936A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649A2"/>
    <w:multiLevelType w:val="hybridMultilevel"/>
    <w:tmpl w:val="22B4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AB027D"/>
    <w:multiLevelType w:val="hybridMultilevel"/>
    <w:tmpl w:val="4634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34133"/>
    <w:multiLevelType w:val="hybridMultilevel"/>
    <w:tmpl w:val="DC5C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81F61"/>
    <w:multiLevelType w:val="hybridMultilevel"/>
    <w:tmpl w:val="128E4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4C01B8"/>
    <w:multiLevelType w:val="hybridMultilevel"/>
    <w:tmpl w:val="5928A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8B6274"/>
    <w:multiLevelType w:val="multilevel"/>
    <w:tmpl w:val="97729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EF6B4B"/>
    <w:multiLevelType w:val="hybridMultilevel"/>
    <w:tmpl w:val="AF8C39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217EC"/>
    <w:multiLevelType w:val="hybridMultilevel"/>
    <w:tmpl w:val="FBD2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02F1B"/>
    <w:multiLevelType w:val="hybridMultilevel"/>
    <w:tmpl w:val="775EB030"/>
    <w:lvl w:ilvl="0" w:tplc="55981D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A2586"/>
    <w:multiLevelType w:val="hybridMultilevel"/>
    <w:tmpl w:val="768C7B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35FCF"/>
    <w:multiLevelType w:val="hybridMultilevel"/>
    <w:tmpl w:val="B62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86079"/>
    <w:multiLevelType w:val="hybridMultilevel"/>
    <w:tmpl w:val="7D2E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326C9D"/>
    <w:multiLevelType w:val="hybridMultilevel"/>
    <w:tmpl w:val="FDA4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E26C3"/>
    <w:multiLevelType w:val="hybridMultilevel"/>
    <w:tmpl w:val="B67C2D04"/>
    <w:lvl w:ilvl="0" w:tplc="F1A26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46A87"/>
    <w:multiLevelType w:val="hybridMultilevel"/>
    <w:tmpl w:val="586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261FC"/>
    <w:multiLevelType w:val="hybridMultilevel"/>
    <w:tmpl w:val="7974D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D30B6F"/>
    <w:multiLevelType w:val="hybridMultilevel"/>
    <w:tmpl w:val="7548DCC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
  </w:num>
  <w:num w:numId="5">
    <w:abstractNumId w:val="2"/>
  </w:num>
  <w:num w:numId="6">
    <w:abstractNumId w:val="16"/>
  </w:num>
  <w:num w:numId="7">
    <w:abstractNumId w:val="7"/>
  </w:num>
  <w:num w:numId="8">
    <w:abstractNumId w:val="9"/>
  </w:num>
  <w:num w:numId="9">
    <w:abstractNumId w:val="14"/>
  </w:num>
  <w:num w:numId="10">
    <w:abstractNumId w:val="17"/>
  </w:num>
  <w:num w:numId="11">
    <w:abstractNumId w:val="8"/>
  </w:num>
  <w:num w:numId="12">
    <w:abstractNumId w:val="10"/>
  </w:num>
  <w:num w:numId="13">
    <w:abstractNumId w:val="11"/>
  </w:num>
  <w:num w:numId="14">
    <w:abstractNumId w:val="3"/>
  </w:num>
  <w:num w:numId="15">
    <w:abstractNumId w:val="5"/>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6"/>
  </w:num>
  <w:num w:numId="21">
    <w:abstractNumId w:val="12"/>
  </w:num>
  <w:num w:numId="22">
    <w:abstractNumId w:val="23"/>
  </w:num>
  <w:num w:numId="23">
    <w:abstractNumId w:val="24"/>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DA"/>
    <w:rsid w:val="00072560"/>
    <w:rsid w:val="000B364B"/>
    <w:rsid w:val="001046CE"/>
    <w:rsid w:val="00287442"/>
    <w:rsid w:val="00321506"/>
    <w:rsid w:val="004503C7"/>
    <w:rsid w:val="004866DA"/>
    <w:rsid w:val="00524170"/>
    <w:rsid w:val="00662D1E"/>
    <w:rsid w:val="00703CE2"/>
    <w:rsid w:val="00734108"/>
    <w:rsid w:val="00746D64"/>
    <w:rsid w:val="00815F5A"/>
    <w:rsid w:val="008D1D00"/>
    <w:rsid w:val="008D2417"/>
    <w:rsid w:val="00933EB2"/>
    <w:rsid w:val="009855C1"/>
    <w:rsid w:val="00996992"/>
    <w:rsid w:val="00A707A9"/>
    <w:rsid w:val="00C80322"/>
    <w:rsid w:val="00CF5BCD"/>
    <w:rsid w:val="00D05C52"/>
    <w:rsid w:val="00DA6C05"/>
    <w:rsid w:val="00E449B6"/>
    <w:rsid w:val="00EB187E"/>
    <w:rsid w:val="00F25692"/>
    <w:rsid w:val="00F923DB"/>
    <w:rsid w:val="00FA4D37"/>
    <w:rsid w:val="00FD2E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2575"/>
  <w15:chartTrackingRefBased/>
  <w15:docId w15:val="{90E39603-5458-4F5A-84AD-9D7A7589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6DA"/>
    <w:pPr>
      <w:spacing w:after="0" w:line="240" w:lineRule="auto"/>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4866DA"/>
    <w:pPr>
      <w:keepNext/>
      <w:widowControl w:val="0"/>
      <w:spacing w:after="40"/>
      <w:jc w:val="center"/>
      <w:outlineLvl w:val="0"/>
    </w:pPr>
    <w:rPr>
      <w:rFonts w:ascii="Century Schoolbook" w:hAnsi="Century Schoolbook"/>
      <w:b/>
      <w:snapToGrid w:val="0"/>
      <w:sz w:val="24"/>
    </w:rPr>
  </w:style>
  <w:style w:type="paragraph" w:styleId="Heading2">
    <w:name w:val="heading 2"/>
    <w:basedOn w:val="Normal"/>
    <w:next w:val="Normal"/>
    <w:link w:val="Heading2Char"/>
    <w:uiPriority w:val="9"/>
    <w:qFormat/>
    <w:rsid w:val="004866DA"/>
    <w:pPr>
      <w:keepNext/>
      <w:ind w:left="720" w:right="-720"/>
      <w:outlineLvl w:val="1"/>
    </w:pPr>
    <w:rPr>
      <w:sz w:val="24"/>
    </w:rPr>
  </w:style>
  <w:style w:type="paragraph" w:styleId="Heading3">
    <w:name w:val="heading 3"/>
    <w:basedOn w:val="Normal"/>
    <w:next w:val="Normal"/>
    <w:link w:val="Heading3Char"/>
    <w:uiPriority w:val="9"/>
    <w:qFormat/>
    <w:rsid w:val="004866DA"/>
    <w:pPr>
      <w:keepNext/>
      <w:ind w:left="90" w:right="-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6DA"/>
    <w:rPr>
      <w:rFonts w:ascii="Century Schoolbook" w:eastAsia="Malgun Gothic" w:hAnsi="Century Schoolbook" w:cs="Times New Roman"/>
      <w:b/>
      <w:snapToGrid w:val="0"/>
      <w:sz w:val="24"/>
      <w:szCs w:val="20"/>
    </w:rPr>
  </w:style>
  <w:style w:type="character" w:customStyle="1" w:styleId="Heading2Char">
    <w:name w:val="Heading 2 Char"/>
    <w:basedOn w:val="DefaultParagraphFont"/>
    <w:link w:val="Heading2"/>
    <w:uiPriority w:val="9"/>
    <w:rsid w:val="004866DA"/>
    <w:rPr>
      <w:rFonts w:ascii="Times New Roman" w:eastAsia="Malgun Gothic" w:hAnsi="Times New Roman" w:cs="Times New Roman"/>
      <w:sz w:val="24"/>
      <w:szCs w:val="20"/>
    </w:rPr>
  </w:style>
  <w:style w:type="character" w:customStyle="1" w:styleId="Heading3Char">
    <w:name w:val="Heading 3 Char"/>
    <w:basedOn w:val="DefaultParagraphFont"/>
    <w:link w:val="Heading3"/>
    <w:uiPriority w:val="9"/>
    <w:rsid w:val="004866DA"/>
    <w:rPr>
      <w:rFonts w:ascii="Times New Roman" w:eastAsia="Malgun Gothic" w:hAnsi="Times New Roman" w:cs="Times New Roman"/>
      <w:sz w:val="24"/>
      <w:szCs w:val="20"/>
    </w:rPr>
  </w:style>
  <w:style w:type="paragraph" w:customStyle="1" w:styleId="WPDefaults">
    <w:name w:val="WP Defaults"/>
    <w:rsid w:val="004866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Malgun Gothic" w:hAnsi="Geneva" w:cs="Times New Roman"/>
      <w:color w:val="000000"/>
      <w:sz w:val="24"/>
      <w:szCs w:val="20"/>
    </w:rPr>
  </w:style>
  <w:style w:type="paragraph" w:customStyle="1" w:styleId="Document">
    <w:name w:val="Document"/>
    <w:rsid w:val="004866DA"/>
    <w:pPr>
      <w:spacing w:after="0" w:line="240" w:lineRule="atLeast"/>
    </w:pPr>
    <w:rPr>
      <w:rFonts w:ascii="Geneva" w:eastAsia="Malgun Gothic" w:hAnsi="Geneva" w:cs="Times New Roman"/>
      <w:color w:val="000000"/>
      <w:sz w:val="20"/>
      <w:szCs w:val="20"/>
    </w:rPr>
  </w:style>
  <w:style w:type="paragraph" w:styleId="PlainText">
    <w:name w:val="Plain Text"/>
    <w:basedOn w:val="Normal"/>
    <w:link w:val="PlainTextChar"/>
    <w:rsid w:val="004866DA"/>
    <w:rPr>
      <w:rFonts w:ascii="Courier New" w:hAnsi="Courier New"/>
    </w:rPr>
  </w:style>
  <w:style w:type="character" w:customStyle="1" w:styleId="PlainTextChar">
    <w:name w:val="Plain Text Char"/>
    <w:basedOn w:val="DefaultParagraphFont"/>
    <w:link w:val="PlainText"/>
    <w:rsid w:val="004866DA"/>
    <w:rPr>
      <w:rFonts w:ascii="Courier New" w:eastAsia="Malgun Gothic" w:hAnsi="Courier New" w:cs="Times New Roman"/>
      <w:sz w:val="20"/>
      <w:szCs w:val="20"/>
    </w:rPr>
  </w:style>
  <w:style w:type="paragraph" w:styleId="Footer">
    <w:name w:val="footer"/>
    <w:basedOn w:val="Normal"/>
    <w:link w:val="FooterChar"/>
    <w:uiPriority w:val="99"/>
    <w:rsid w:val="004866DA"/>
    <w:pPr>
      <w:tabs>
        <w:tab w:val="center" w:pos="4320"/>
        <w:tab w:val="right" w:pos="8640"/>
      </w:tabs>
    </w:pPr>
    <w:rPr>
      <w:sz w:val="24"/>
    </w:rPr>
  </w:style>
  <w:style w:type="character" w:customStyle="1" w:styleId="FooterChar">
    <w:name w:val="Footer Char"/>
    <w:basedOn w:val="DefaultParagraphFont"/>
    <w:link w:val="Footer"/>
    <w:uiPriority w:val="99"/>
    <w:rsid w:val="004866DA"/>
    <w:rPr>
      <w:rFonts w:ascii="Times New Roman" w:eastAsia="Malgun Gothic" w:hAnsi="Times New Roman" w:cs="Times New Roman"/>
      <w:sz w:val="24"/>
      <w:szCs w:val="20"/>
    </w:rPr>
  </w:style>
  <w:style w:type="paragraph" w:styleId="BlockText">
    <w:name w:val="Block Text"/>
    <w:basedOn w:val="Normal"/>
    <w:rsid w:val="004866DA"/>
    <w:pPr>
      <w:widowControl w:val="0"/>
      <w:tabs>
        <w:tab w:val="left" w:pos="9360"/>
      </w:tabs>
      <w:ind w:left="90" w:right="720"/>
    </w:pPr>
    <w:rPr>
      <w:snapToGrid w:val="0"/>
      <w:sz w:val="24"/>
    </w:rPr>
  </w:style>
  <w:style w:type="paragraph" w:styleId="BodyText">
    <w:name w:val="Body Text"/>
    <w:basedOn w:val="Normal"/>
    <w:link w:val="BodyTextChar"/>
    <w:uiPriority w:val="1"/>
    <w:qFormat/>
    <w:rsid w:val="004866DA"/>
    <w:rPr>
      <w:sz w:val="19"/>
    </w:rPr>
  </w:style>
  <w:style w:type="character" w:customStyle="1" w:styleId="BodyTextChar">
    <w:name w:val="Body Text Char"/>
    <w:basedOn w:val="DefaultParagraphFont"/>
    <w:link w:val="BodyText"/>
    <w:uiPriority w:val="1"/>
    <w:rsid w:val="004866DA"/>
    <w:rPr>
      <w:rFonts w:ascii="Times New Roman" w:eastAsia="Malgun Gothic" w:hAnsi="Times New Roman" w:cs="Times New Roman"/>
      <w:sz w:val="19"/>
      <w:szCs w:val="20"/>
    </w:rPr>
  </w:style>
  <w:style w:type="character" w:styleId="Hyperlink">
    <w:name w:val="Hyperlink"/>
    <w:rsid w:val="004866DA"/>
    <w:rPr>
      <w:color w:val="0000FF"/>
      <w:u w:val="single"/>
    </w:rPr>
  </w:style>
  <w:style w:type="paragraph" w:styleId="Header">
    <w:name w:val="header"/>
    <w:basedOn w:val="Normal"/>
    <w:link w:val="HeaderChar"/>
    <w:uiPriority w:val="99"/>
    <w:rsid w:val="004866DA"/>
    <w:pPr>
      <w:tabs>
        <w:tab w:val="center" w:pos="4320"/>
        <w:tab w:val="right" w:pos="8640"/>
      </w:tabs>
    </w:pPr>
  </w:style>
  <w:style w:type="character" w:customStyle="1" w:styleId="HeaderChar">
    <w:name w:val="Header Char"/>
    <w:basedOn w:val="DefaultParagraphFont"/>
    <w:link w:val="Header"/>
    <w:uiPriority w:val="99"/>
    <w:rsid w:val="004866DA"/>
    <w:rPr>
      <w:rFonts w:ascii="Times New Roman" w:eastAsia="Malgun Gothic" w:hAnsi="Times New Roman" w:cs="Times New Roman"/>
      <w:sz w:val="20"/>
      <w:szCs w:val="20"/>
    </w:rPr>
  </w:style>
  <w:style w:type="paragraph" w:styleId="BalloonText">
    <w:name w:val="Balloon Text"/>
    <w:basedOn w:val="Normal"/>
    <w:link w:val="BalloonTextChar"/>
    <w:rsid w:val="004866DA"/>
    <w:rPr>
      <w:rFonts w:ascii="Segoe UI" w:hAnsi="Segoe UI" w:cs="Segoe UI"/>
      <w:sz w:val="18"/>
      <w:szCs w:val="18"/>
    </w:rPr>
  </w:style>
  <w:style w:type="character" w:customStyle="1" w:styleId="BalloonTextChar">
    <w:name w:val="Balloon Text Char"/>
    <w:basedOn w:val="DefaultParagraphFont"/>
    <w:link w:val="BalloonText"/>
    <w:rsid w:val="004866DA"/>
    <w:rPr>
      <w:rFonts w:ascii="Segoe UI" w:eastAsia="Malgun Gothic" w:hAnsi="Segoe UI" w:cs="Segoe UI"/>
      <w:sz w:val="18"/>
      <w:szCs w:val="18"/>
    </w:rPr>
  </w:style>
  <w:style w:type="paragraph" w:customStyle="1" w:styleId="Default">
    <w:name w:val="Default"/>
    <w:rsid w:val="004866DA"/>
    <w:pPr>
      <w:autoSpaceDE w:val="0"/>
      <w:autoSpaceDN w:val="0"/>
      <w:adjustRightInd w:val="0"/>
      <w:spacing w:after="0" w:line="240" w:lineRule="auto"/>
    </w:pPr>
    <w:rPr>
      <w:rFonts w:ascii="Times New Roman" w:eastAsia="Malgun Gothic" w:hAnsi="Times New Roman" w:cs="Times New Roman"/>
      <w:color w:val="000000"/>
      <w:sz w:val="24"/>
      <w:szCs w:val="24"/>
    </w:rPr>
  </w:style>
  <w:style w:type="character" w:styleId="CommentReference">
    <w:name w:val="annotation reference"/>
    <w:rsid w:val="004866DA"/>
    <w:rPr>
      <w:sz w:val="16"/>
      <w:szCs w:val="16"/>
    </w:rPr>
  </w:style>
  <w:style w:type="paragraph" w:styleId="CommentText">
    <w:name w:val="annotation text"/>
    <w:basedOn w:val="Normal"/>
    <w:link w:val="CommentTextChar"/>
    <w:rsid w:val="004866DA"/>
  </w:style>
  <w:style w:type="character" w:customStyle="1" w:styleId="CommentTextChar">
    <w:name w:val="Comment Text Char"/>
    <w:basedOn w:val="DefaultParagraphFont"/>
    <w:link w:val="CommentText"/>
    <w:rsid w:val="004866DA"/>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rsid w:val="004866DA"/>
    <w:rPr>
      <w:b/>
      <w:bCs/>
    </w:rPr>
  </w:style>
  <w:style w:type="character" w:customStyle="1" w:styleId="CommentSubjectChar">
    <w:name w:val="Comment Subject Char"/>
    <w:basedOn w:val="CommentTextChar"/>
    <w:link w:val="CommentSubject"/>
    <w:rsid w:val="004866DA"/>
    <w:rPr>
      <w:rFonts w:ascii="Times New Roman" w:eastAsia="Malgun Gothic" w:hAnsi="Times New Roman" w:cs="Times New Roman"/>
      <w:b/>
      <w:bCs/>
      <w:sz w:val="20"/>
      <w:szCs w:val="20"/>
    </w:rPr>
  </w:style>
  <w:style w:type="paragraph" w:styleId="Revision">
    <w:name w:val="Revision"/>
    <w:hidden/>
    <w:uiPriority w:val="99"/>
    <w:semiHidden/>
    <w:rsid w:val="004866DA"/>
    <w:pPr>
      <w:spacing w:after="0" w:line="240" w:lineRule="auto"/>
    </w:pPr>
    <w:rPr>
      <w:rFonts w:ascii="Times New Roman" w:eastAsia="Malgun Gothic" w:hAnsi="Times New Roman" w:cs="Times New Roman"/>
      <w:sz w:val="20"/>
      <w:szCs w:val="20"/>
    </w:rPr>
  </w:style>
  <w:style w:type="character" w:styleId="Emphasis">
    <w:name w:val="Emphasis"/>
    <w:qFormat/>
    <w:rsid w:val="004866DA"/>
    <w:rPr>
      <w:i/>
      <w:iCs/>
    </w:rPr>
  </w:style>
  <w:style w:type="paragraph" w:styleId="ListParagraph">
    <w:name w:val="List Paragraph"/>
    <w:basedOn w:val="Normal"/>
    <w:uiPriority w:val="1"/>
    <w:qFormat/>
    <w:rsid w:val="004866D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4866DA"/>
    <w:pPr>
      <w:spacing w:before="100" w:beforeAutospacing="1" w:after="100" w:afterAutospacing="1"/>
    </w:pPr>
    <w:rPr>
      <w:sz w:val="24"/>
      <w:szCs w:val="24"/>
    </w:rPr>
  </w:style>
  <w:style w:type="table" w:styleId="TableGrid">
    <w:name w:val="Table Grid"/>
    <w:basedOn w:val="TableNormal"/>
    <w:uiPriority w:val="39"/>
    <w:rsid w:val="00486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866D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4866DA"/>
    <w:pPr>
      <w:widowControl w:val="0"/>
      <w:autoSpaceDE w:val="0"/>
      <w:autoSpaceDN w:val="0"/>
      <w:spacing w:before="113"/>
      <w:ind w:left="114"/>
    </w:pPr>
    <w:rPr>
      <w:rFonts w:ascii="Arial" w:eastAsia="Arial" w:hAnsi="Arial" w:cs="Arial"/>
      <w:sz w:val="26"/>
      <w:szCs w:val="26"/>
    </w:rPr>
  </w:style>
  <w:style w:type="character" w:customStyle="1" w:styleId="TitleChar">
    <w:name w:val="Title Char"/>
    <w:basedOn w:val="DefaultParagraphFont"/>
    <w:link w:val="Title"/>
    <w:uiPriority w:val="10"/>
    <w:rsid w:val="004866DA"/>
    <w:rPr>
      <w:rFonts w:ascii="Arial" w:eastAsia="Arial" w:hAnsi="Arial" w:cs="Arial"/>
      <w:sz w:val="26"/>
      <w:szCs w:val="26"/>
    </w:rPr>
  </w:style>
  <w:style w:type="paragraph" w:customStyle="1" w:styleId="TableParagraph">
    <w:name w:val="Table Paragraph"/>
    <w:basedOn w:val="Normal"/>
    <w:uiPriority w:val="1"/>
    <w:qFormat/>
    <w:rsid w:val="004866DA"/>
    <w:pPr>
      <w:widowControl w:val="0"/>
      <w:autoSpaceDE w:val="0"/>
      <w:autoSpaceDN w:val="0"/>
    </w:pPr>
    <w:rPr>
      <w:rFonts w:ascii="Arial" w:eastAsia="Arial" w:hAnsi="Arial" w:cs="Arial"/>
      <w:sz w:val="22"/>
      <w:szCs w:val="22"/>
    </w:rPr>
  </w:style>
  <w:style w:type="table" w:customStyle="1" w:styleId="TableGrid2">
    <w:name w:val="Table Grid2"/>
    <w:basedOn w:val="TableNormal"/>
    <w:next w:val="TableGrid"/>
    <w:uiPriority w:val="39"/>
    <w:rsid w:val="004866D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66DA"/>
  </w:style>
  <w:style w:type="numbering" w:customStyle="1" w:styleId="NoList2">
    <w:name w:val="No List2"/>
    <w:next w:val="NoList"/>
    <w:uiPriority w:val="99"/>
    <w:semiHidden/>
    <w:unhideWhenUsed/>
    <w:rsid w:val="004866DA"/>
  </w:style>
  <w:style w:type="paragraph" w:customStyle="1" w:styleId="ProficientText">
    <w:name w:val="Proficient Text"/>
    <w:basedOn w:val="Normal"/>
    <w:qFormat/>
    <w:rsid w:val="004866DA"/>
    <w:pPr>
      <w:spacing w:before="40" w:after="40"/>
    </w:pPr>
    <w:rPr>
      <w:rFonts w:ascii="Arial" w:eastAsia="Calibri" w:hAnsi="Arial"/>
      <w:b/>
      <w:szCs w:val="22"/>
    </w:rPr>
  </w:style>
  <w:style w:type="paragraph" w:customStyle="1" w:styleId="TableBlueText">
    <w:name w:val="Table Blue Text"/>
    <w:basedOn w:val="Normal"/>
    <w:qFormat/>
    <w:rsid w:val="004866DA"/>
    <w:pPr>
      <w:spacing w:before="40" w:after="40"/>
    </w:pPr>
    <w:rPr>
      <w:rFonts w:ascii="Arial" w:eastAsia="Calibri" w:hAnsi="Arial"/>
      <w:color w:val="00438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Kellie</dc:creator>
  <cp:keywords/>
  <dc:description/>
  <cp:lastModifiedBy>Mi-hee Jeon</cp:lastModifiedBy>
  <cp:revision>12</cp:revision>
  <dcterms:created xsi:type="dcterms:W3CDTF">2022-03-27T18:23:00Z</dcterms:created>
  <dcterms:modified xsi:type="dcterms:W3CDTF">2022-03-28T02:46:00Z</dcterms:modified>
</cp:coreProperties>
</file>