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7484" w14:textId="77777777" w:rsidR="0044772F" w:rsidRDefault="0044772F">
      <w:pPr>
        <w:pStyle w:val="Heading1"/>
      </w:pPr>
      <w:r>
        <w:t>106 - Responsibilities of Design Professionals</w:t>
      </w:r>
    </w:p>
    <w:p w14:paraId="7602E350" w14:textId="77777777" w:rsidR="0044772F" w:rsidRDefault="0044772F">
      <w:pPr>
        <w:pStyle w:val="Heading1"/>
      </w:pPr>
    </w:p>
    <w:p w14:paraId="67D75B76" w14:textId="77777777" w:rsidR="0044772F" w:rsidRPr="00F03C5D" w:rsidRDefault="00126EE8" w:rsidP="000A0DD0">
      <w:pPr>
        <w:pStyle w:val="ParagraphText"/>
        <w:spacing w:after="0"/>
        <w:ind w:left="360" w:hanging="360"/>
      </w:pPr>
      <w:r w:rsidRPr="00126EE8">
        <w:rPr>
          <w:b/>
        </w:rPr>
        <w:t>106.1 Qualifications:</w:t>
      </w:r>
      <w:r>
        <w:t xml:space="preserve"> </w:t>
      </w:r>
      <w:r w:rsidR="0044772F" w:rsidRPr="00F03C5D">
        <w:t xml:space="preserve">The Architect-Engineer and his Sub-consultants shall be qualified design professionals licensed to practice Architecture, Landscape Architecture and Engineering in the Commonwealth of Kentucky, per the Kentucky Revised Statutes. </w:t>
      </w:r>
      <w:hyperlink r:id="rId7" w:history="1">
        <w:r w:rsidR="0044772F" w:rsidRPr="00ED54F8">
          <w:rPr>
            <w:rStyle w:val="Hyperlink"/>
          </w:rPr>
          <w:t>http://lrc.ky.gov/KRS/322-0</w:t>
        </w:r>
        <w:bookmarkStart w:id="0" w:name="_Hlt104882929"/>
        <w:r w:rsidR="0044772F" w:rsidRPr="00ED54F8">
          <w:rPr>
            <w:rStyle w:val="Hyperlink"/>
          </w:rPr>
          <w:t>0</w:t>
        </w:r>
        <w:bookmarkEnd w:id="0"/>
        <w:r w:rsidR="0044772F" w:rsidRPr="00ED54F8">
          <w:rPr>
            <w:rStyle w:val="Hyperlink"/>
          </w:rPr>
          <w:t>/360.PD</w:t>
        </w:r>
        <w:bookmarkStart w:id="1" w:name="_Hlt104883031"/>
        <w:r w:rsidR="0044772F" w:rsidRPr="00ED54F8">
          <w:rPr>
            <w:rStyle w:val="Hyperlink"/>
          </w:rPr>
          <w:t>F</w:t>
        </w:r>
        <w:bookmarkEnd w:id="1"/>
      </w:hyperlink>
      <w:r w:rsidR="0044772F" w:rsidRPr="00F03C5D">
        <w:t xml:space="preserve">. The Architect-Engineer shall ensure that all aspects of the Project are designed in accordance to the Owner’s Project Requirements and are in compliance with applicable codes and regulations. Responsibility for all aspects of the project design and construction documents shall belong to the Architect-Engineer. Services provided by the Architect-Engineer shall meet established and accepted professional standards for design services. </w:t>
      </w:r>
    </w:p>
    <w:p w14:paraId="4BDCB12E" w14:textId="77777777" w:rsidR="0044772F" w:rsidRPr="00F03C5D" w:rsidRDefault="0044772F" w:rsidP="000A0DD0">
      <w:pPr>
        <w:ind w:left="360" w:hanging="360"/>
        <w:rPr>
          <w:sz w:val="22"/>
        </w:rPr>
      </w:pPr>
    </w:p>
    <w:p w14:paraId="6C862074" w14:textId="23421541" w:rsidR="0044772F" w:rsidRPr="00F03C5D" w:rsidRDefault="00126EE8" w:rsidP="000A0DD0">
      <w:pPr>
        <w:ind w:left="360" w:hanging="360"/>
        <w:jc w:val="both"/>
        <w:rPr>
          <w:sz w:val="22"/>
        </w:rPr>
      </w:pPr>
      <w:r>
        <w:rPr>
          <w:b/>
          <w:sz w:val="22"/>
        </w:rPr>
        <w:t>106.2</w:t>
      </w:r>
      <w:r w:rsidR="000B6891">
        <w:rPr>
          <w:b/>
          <w:sz w:val="22"/>
        </w:rPr>
        <w:t xml:space="preserve"> </w:t>
      </w:r>
      <w:r w:rsidR="0044772F" w:rsidRPr="00F03C5D">
        <w:rPr>
          <w:b/>
          <w:sz w:val="22"/>
        </w:rPr>
        <w:t>Direction:</w:t>
      </w:r>
      <w:r w:rsidR="0044772F" w:rsidRPr="00F03C5D">
        <w:rPr>
          <w:sz w:val="22"/>
        </w:rPr>
        <w:t xml:space="preserve">  The Architect-Engineer shall accept directions only from the </w:t>
      </w:r>
      <w:r w:rsidR="00F1479F">
        <w:rPr>
          <w:sz w:val="22"/>
        </w:rPr>
        <w:t xml:space="preserve">Division of Facilities Management and Safety’s </w:t>
      </w:r>
      <w:r w:rsidR="0044772F" w:rsidRPr="00F03C5D">
        <w:rPr>
          <w:sz w:val="22"/>
        </w:rPr>
        <w:t xml:space="preserve">Project Manager. Requests or desires of the </w:t>
      </w:r>
      <w:r w:rsidR="00BA6F95">
        <w:rPr>
          <w:sz w:val="22"/>
        </w:rPr>
        <w:t xml:space="preserve">University Department Representative </w:t>
      </w:r>
      <w:r w:rsidR="0044772F" w:rsidRPr="00F03C5D">
        <w:rPr>
          <w:sz w:val="22"/>
        </w:rPr>
        <w:t xml:space="preserve">made directly to the Architect-Engineer will be immediately </w:t>
      </w:r>
      <w:r>
        <w:rPr>
          <w:sz w:val="22"/>
        </w:rPr>
        <w:t>referred</w:t>
      </w:r>
      <w:r w:rsidR="006D5F8A">
        <w:rPr>
          <w:sz w:val="22"/>
        </w:rPr>
        <w:t xml:space="preserve"> to</w:t>
      </w:r>
      <w:r w:rsidR="0044772F" w:rsidRPr="00F03C5D">
        <w:rPr>
          <w:sz w:val="22"/>
        </w:rPr>
        <w:t xml:space="preserve"> the Project Manager.  Any changes to the project scope must be authorized in writing by the Project Manager.  </w:t>
      </w:r>
    </w:p>
    <w:p w14:paraId="7097EDCF" w14:textId="77777777" w:rsidR="0044772F" w:rsidRPr="00F03C5D" w:rsidRDefault="0044772F" w:rsidP="000A0DD0">
      <w:pPr>
        <w:ind w:left="360" w:hanging="360"/>
        <w:jc w:val="both"/>
        <w:rPr>
          <w:sz w:val="22"/>
        </w:rPr>
      </w:pPr>
    </w:p>
    <w:p w14:paraId="0F8B1F27" w14:textId="392F1D81" w:rsidR="0044772F" w:rsidRPr="00F03C5D" w:rsidRDefault="00126EE8" w:rsidP="000D541E">
      <w:pPr>
        <w:ind w:left="360" w:hanging="360"/>
        <w:jc w:val="both"/>
        <w:rPr>
          <w:sz w:val="22"/>
        </w:rPr>
      </w:pPr>
      <w:r>
        <w:rPr>
          <w:b/>
          <w:sz w:val="22"/>
        </w:rPr>
        <w:t>106.3</w:t>
      </w:r>
      <w:r w:rsidR="000B6891">
        <w:rPr>
          <w:b/>
          <w:sz w:val="22"/>
        </w:rPr>
        <w:t xml:space="preserve"> </w:t>
      </w:r>
      <w:r w:rsidR="0044772F" w:rsidRPr="00F03C5D">
        <w:rPr>
          <w:b/>
          <w:sz w:val="22"/>
        </w:rPr>
        <w:t xml:space="preserve">Architect-Engineer Representative: </w:t>
      </w:r>
      <w:r w:rsidR="0044772F" w:rsidRPr="00F03C5D">
        <w:rPr>
          <w:sz w:val="22"/>
        </w:rPr>
        <w:t xml:space="preserve">The Architect-Engineer shall assign a person within the firm who has the responsibility of being present at all meetings and to supervise all significant elements of the work in </w:t>
      </w:r>
      <w:r w:rsidR="00BA6F95" w:rsidRPr="00F03C5D">
        <w:rPr>
          <w:sz w:val="22"/>
        </w:rPr>
        <w:t>progress and</w:t>
      </w:r>
      <w:r w:rsidR="0044772F" w:rsidRPr="00F03C5D">
        <w:rPr>
          <w:sz w:val="22"/>
        </w:rPr>
        <w:t xml:space="preserve"> shall be cognizant of and assure that all documents on the project have been coordinated.  The Architect-Engineer will be a member of the Commissioning Team and participate in all applicable Commissioning activities.  This individual shall be a person who has verifiable engineering or architectural design experience and is a Kentucky-registered professional </w:t>
      </w:r>
      <w:r>
        <w:rPr>
          <w:sz w:val="22"/>
        </w:rPr>
        <w:t xml:space="preserve">architect, </w:t>
      </w:r>
      <w:r w:rsidR="00BA6F95" w:rsidRPr="00F03C5D">
        <w:rPr>
          <w:sz w:val="22"/>
        </w:rPr>
        <w:t>engineer,</w:t>
      </w:r>
      <w:r w:rsidR="0044772F" w:rsidRPr="00F03C5D">
        <w:rPr>
          <w:sz w:val="22"/>
        </w:rPr>
        <w:t xml:space="preserve"> or </w:t>
      </w:r>
      <w:r>
        <w:rPr>
          <w:sz w:val="22"/>
        </w:rPr>
        <w:t xml:space="preserve">landscape </w:t>
      </w:r>
      <w:r w:rsidR="0044772F" w:rsidRPr="00F03C5D">
        <w:rPr>
          <w:sz w:val="22"/>
        </w:rPr>
        <w:t>architect.  Each Sub-Consultant within the Architect-Engineer’s design team shall assign a lead person for that discipline. This individual shall be a person who has verifiable design experience in the discipline and is a Kentucky-registered professional in that discipline. The Architect-Engineer shall notify the Project Manager of the names of these individuals and the names of alternate persons assigned to each position.</w:t>
      </w:r>
    </w:p>
    <w:p w14:paraId="6736E5DF" w14:textId="77777777" w:rsidR="0044772F" w:rsidRPr="00F03C5D" w:rsidRDefault="0044772F" w:rsidP="000A0DD0">
      <w:pPr>
        <w:ind w:left="360" w:hanging="360"/>
        <w:jc w:val="both"/>
        <w:rPr>
          <w:sz w:val="22"/>
        </w:rPr>
      </w:pPr>
    </w:p>
    <w:p w14:paraId="401D7986" w14:textId="77777777" w:rsidR="0044772F" w:rsidRPr="00F03C5D" w:rsidRDefault="00126EE8" w:rsidP="000A0DD0">
      <w:pPr>
        <w:ind w:left="360" w:hanging="360"/>
        <w:jc w:val="both"/>
        <w:rPr>
          <w:sz w:val="22"/>
        </w:rPr>
      </w:pPr>
      <w:r>
        <w:rPr>
          <w:b/>
          <w:sz w:val="22"/>
        </w:rPr>
        <w:t>106.4</w:t>
      </w:r>
      <w:r w:rsidR="000B6891">
        <w:rPr>
          <w:b/>
          <w:sz w:val="22"/>
        </w:rPr>
        <w:t xml:space="preserve"> </w:t>
      </w:r>
      <w:r w:rsidR="0044772F" w:rsidRPr="00F03C5D">
        <w:rPr>
          <w:b/>
          <w:sz w:val="22"/>
        </w:rPr>
        <w:t>Design Quality Control:</w:t>
      </w:r>
      <w:r w:rsidR="0044772F" w:rsidRPr="00F03C5D">
        <w:rPr>
          <w:sz w:val="22"/>
        </w:rPr>
        <w:t xml:space="preserve"> The Architect-Engineer shall effectively maintain a quality-control program that will assure that all services, designs, drawings, and specifications required by </w:t>
      </w:r>
      <w:r w:rsidR="00B91B8F">
        <w:rPr>
          <w:sz w:val="22"/>
        </w:rPr>
        <w:t>the</w:t>
      </w:r>
      <w:r w:rsidR="00B91B8F" w:rsidRPr="00F03C5D">
        <w:rPr>
          <w:sz w:val="22"/>
        </w:rPr>
        <w:t xml:space="preserve"> </w:t>
      </w:r>
      <w:r w:rsidR="0044772F" w:rsidRPr="00F03C5D">
        <w:rPr>
          <w:sz w:val="22"/>
        </w:rPr>
        <w:t>contract are performed and provided in a manner that meets professional architectural and engineering quality standards.</w:t>
      </w:r>
      <w:r w:rsidR="00B91B8F">
        <w:rPr>
          <w:sz w:val="22"/>
        </w:rPr>
        <w:t xml:space="preserve"> E</w:t>
      </w:r>
      <w:r w:rsidR="0044772F" w:rsidRPr="00F03C5D">
        <w:rPr>
          <w:sz w:val="22"/>
        </w:rPr>
        <w:t>rrors and deficiencies in the design documents shall be identified, documented, and corrected prior to submitting them to the Project Manager. The Architect-Engineer shall utilize reasonable care in the pre-submission review of the design documents.</w:t>
      </w:r>
    </w:p>
    <w:p w14:paraId="45CBD788" w14:textId="77777777" w:rsidR="0044772F" w:rsidRPr="00F03C5D" w:rsidRDefault="0044772F" w:rsidP="000A0DD0">
      <w:pPr>
        <w:ind w:left="360" w:hanging="360"/>
        <w:jc w:val="both"/>
        <w:rPr>
          <w:sz w:val="22"/>
        </w:rPr>
      </w:pPr>
    </w:p>
    <w:p w14:paraId="38184BAE" w14:textId="2F04CB4D" w:rsidR="0044772F" w:rsidRPr="00F03C5D" w:rsidRDefault="0044772F" w:rsidP="000A0DD0">
      <w:pPr>
        <w:ind w:left="360"/>
        <w:jc w:val="both"/>
        <w:rPr>
          <w:sz w:val="22"/>
        </w:rPr>
      </w:pPr>
      <w:r w:rsidRPr="00F03C5D">
        <w:rPr>
          <w:sz w:val="22"/>
        </w:rPr>
        <w:t xml:space="preserve">The design documents will be systematically reviewed by the Commissioning Authority for compliance with the </w:t>
      </w:r>
      <w:r w:rsidR="00BA6F95">
        <w:rPr>
          <w:sz w:val="22"/>
        </w:rPr>
        <w:t xml:space="preserve">DFMS Project Management’s </w:t>
      </w:r>
      <w:r w:rsidRPr="00F03C5D">
        <w:rPr>
          <w:sz w:val="22"/>
        </w:rPr>
        <w:t>Project Requirements.  Identified deviations in the design documents will be documented.  The Commissioning Team will work together to resolve any design issues uncovered by the Commissioning Process.</w:t>
      </w:r>
      <w:r w:rsidR="00B91B8F" w:rsidRPr="00B91B8F">
        <w:rPr>
          <w:sz w:val="22"/>
        </w:rPr>
        <w:t xml:space="preserve"> </w:t>
      </w:r>
      <w:r w:rsidR="00B91B8F" w:rsidRPr="00F03C5D">
        <w:rPr>
          <w:sz w:val="22"/>
        </w:rPr>
        <w:t xml:space="preserve">The Architect-Engineer shall participate in the Commissioning Process in order to assure design quality.   </w:t>
      </w:r>
      <w:r w:rsidRPr="00F03C5D">
        <w:rPr>
          <w:sz w:val="22"/>
        </w:rPr>
        <w:t xml:space="preserve">  </w:t>
      </w:r>
    </w:p>
    <w:p w14:paraId="171C32CC" w14:textId="77777777" w:rsidR="0044772F" w:rsidRPr="00F03C5D" w:rsidRDefault="0044772F" w:rsidP="000A0DD0">
      <w:pPr>
        <w:ind w:left="360" w:hanging="360"/>
        <w:jc w:val="both"/>
        <w:rPr>
          <w:sz w:val="22"/>
        </w:rPr>
      </w:pPr>
    </w:p>
    <w:p w14:paraId="2FD574C2" w14:textId="77777777" w:rsidR="0044772F" w:rsidRDefault="0044772F" w:rsidP="000A0DD0">
      <w:pPr>
        <w:ind w:left="360"/>
        <w:jc w:val="both"/>
        <w:rPr>
          <w:sz w:val="22"/>
        </w:rPr>
      </w:pPr>
      <w:r w:rsidRPr="009D6940">
        <w:rPr>
          <w:sz w:val="22"/>
          <w:szCs w:val="22"/>
        </w:rPr>
        <w:t xml:space="preserve">The Architect-Engineer shall furnish copies of all instructions, manuals, and </w:t>
      </w:r>
      <w:r w:rsidR="00B91B8F" w:rsidRPr="009D6940">
        <w:rPr>
          <w:sz w:val="22"/>
          <w:szCs w:val="22"/>
        </w:rPr>
        <w:t xml:space="preserve">all design requirements </w:t>
      </w:r>
      <w:r w:rsidRPr="009D6940">
        <w:rPr>
          <w:sz w:val="22"/>
          <w:szCs w:val="22"/>
        </w:rPr>
        <w:t xml:space="preserve">to all Sub-consultants to insure a complete coordinated design. The Architect-Engineer </w:t>
      </w:r>
      <w:r w:rsidR="00B91B8F" w:rsidRPr="009D6940">
        <w:rPr>
          <w:sz w:val="22"/>
          <w:szCs w:val="22"/>
        </w:rPr>
        <w:t>and</w:t>
      </w:r>
      <w:r w:rsidRPr="009D6940">
        <w:rPr>
          <w:sz w:val="22"/>
          <w:szCs w:val="22"/>
        </w:rPr>
        <w:t xml:space="preserve"> all Sub-consultants </w:t>
      </w:r>
      <w:r w:rsidR="00B91B8F" w:rsidRPr="009D6940">
        <w:rPr>
          <w:sz w:val="22"/>
          <w:szCs w:val="22"/>
        </w:rPr>
        <w:t xml:space="preserve">shall </w:t>
      </w:r>
      <w:r w:rsidRPr="009D6940">
        <w:rPr>
          <w:sz w:val="22"/>
          <w:szCs w:val="22"/>
        </w:rPr>
        <w:t>comply with the design requirements</w:t>
      </w:r>
      <w:r w:rsidR="009D6940">
        <w:rPr>
          <w:sz w:val="22"/>
          <w:szCs w:val="22"/>
        </w:rPr>
        <w:t xml:space="preserve">. </w:t>
      </w:r>
      <w:r w:rsidRPr="00B91B8F">
        <w:rPr>
          <w:sz w:val="22"/>
          <w:szCs w:val="22"/>
        </w:rPr>
        <w:t>The</w:t>
      </w:r>
      <w:r w:rsidRPr="00F03C5D">
        <w:rPr>
          <w:sz w:val="22"/>
        </w:rPr>
        <w:t xml:space="preserve"> Architect-Engineer’s responsibility shall be continuous from the inception of design, through construction and warranty phases. The Architect-Engineer shall furnish all services, materials, supplies, equipment, investigations, studies, and travel required in connection with this project as defined by the terms of agreement in their Contract for professional design services.</w:t>
      </w:r>
    </w:p>
    <w:p w14:paraId="2AECF63E" w14:textId="77777777" w:rsidR="005D6D05" w:rsidRDefault="005D6D05" w:rsidP="000A0DD0">
      <w:pPr>
        <w:ind w:left="360" w:hanging="360"/>
        <w:jc w:val="both"/>
        <w:rPr>
          <w:sz w:val="22"/>
        </w:rPr>
      </w:pPr>
    </w:p>
    <w:p w14:paraId="5FAF721A" w14:textId="77777777" w:rsidR="00732141" w:rsidRPr="005D4C06" w:rsidRDefault="00126EE8">
      <w:pPr>
        <w:jc w:val="both"/>
        <w:rPr>
          <w:sz w:val="22"/>
        </w:rPr>
      </w:pPr>
      <w:r>
        <w:rPr>
          <w:b/>
          <w:sz w:val="22"/>
        </w:rPr>
        <w:t>106.5</w:t>
      </w:r>
      <w:r w:rsidR="000B6891">
        <w:rPr>
          <w:b/>
          <w:sz w:val="22"/>
        </w:rPr>
        <w:t xml:space="preserve"> </w:t>
      </w:r>
      <w:r w:rsidR="00E87C47">
        <w:rPr>
          <w:b/>
          <w:sz w:val="22"/>
        </w:rPr>
        <w:t>Not used.</w:t>
      </w:r>
    </w:p>
    <w:p w14:paraId="68B93785" w14:textId="77777777" w:rsidR="00407BB2" w:rsidRDefault="00407BB2" w:rsidP="00407BB2">
      <w:pPr>
        <w:rPr>
          <w:rFonts w:ascii="Calibri" w:hAnsi="Calibri" w:cs="Calibri"/>
          <w:color w:val="1F497D"/>
          <w:sz w:val="22"/>
          <w:szCs w:val="22"/>
        </w:rPr>
      </w:pPr>
    </w:p>
    <w:p w14:paraId="2493CE9F" w14:textId="77777777" w:rsidR="00C0644C" w:rsidRDefault="00D11703" w:rsidP="000A0DD0">
      <w:pPr>
        <w:autoSpaceDE w:val="0"/>
        <w:autoSpaceDN w:val="0"/>
        <w:adjustRightInd w:val="0"/>
        <w:ind w:left="360" w:hanging="360"/>
        <w:rPr>
          <w:rFonts w:cs="Arial"/>
          <w:sz w:val="22"/>
          <w:szCs w:val="22"/>
        </w:rPr>
      </w:pPr>
      <w:r>
        <w:rPr>
          <w:b/>
          <w:sz w:val="22"/>
        </w:rPr>
        <w:t>106.6</w:t>
      </w:r>
      <w:r w:rsidR="000B6891">
        <w:rPr>
          <w:b/>
          <w:sz w:val="22"/>
        </w:rPr>
        <w:t xml:space="preserve"> </w:t>
      </w:r>
      <w:r w:rsidR="00732141">
        <w:rPr>
          <w:b/>
          <w:sz w:val="22"/>
        </w:rPr>
        <w:t>Projects Seeking LEED Certification:</w:t>
      </w:r>
      <w:r w:rsidR="004748B3">
        <w:rPr>
          <w:b/>
          <w:sz w:val="22"/>
        </w:rPr>
        <w:t xml:space="preserve"> </w:t>
      </w:r>
      <w:r w:rsidR="00353504">
        <w:rPr>
          <w:rFonts w:cs="Arial"/>
          <w:sz w:val="22"/>
          <w:szCs w:val="22"/>
        </w:rPr>
        <w:t>For projects s</w:t>
      </w:r>
      <w:r w:rsidR="00353504" w:rsidRPr="00353504">
        <w:rPr>
          <w:rFonts w:cs="Arial"/>
          <w:sz w:val="22"/>
          <w:szCs w:val="22"/>
        </w:rPr>
        <w:t>eeking LEED Certification</w:t>
      </w:r>
      <w:r w:rsidR="005063B3">
        <w:rPr>
          <w:rFonts w:cs="Arial"/>
          <w:sz w:val="22"/>
          <w:szCs w:val="22"/>
        </w:rPr>
        <w:t>,</w:t>
      </w:r>
      <w:r w:rsidR="00353504" w:rsidRPr="00353504">
        <w:rPr>
          <w:rFonts w:cs="Arial"/>
          <w:sz w:val="22"/>
          <w:szCs w:val="22"/>
        </w:rPr>
        <w:t xml:space="preserve"> the </w:t>
      </w:r>
      <w:r w:rsidR="00C0644C" w:rsidRPr="00353504">
        <w:rPr>
          <w:rFonts w:cs="Arial"/>
          <w:sz w:val="22"/>
          <w:szCs w:val="22"/>
        </w:rPr>
        <w:t xml:space="preserve">Architect/Engineer </w:t>
      </w:r>
      <w:r w:rsidR="00353504" w:rsidRPr="00353504">
        <w:rPr>
          <w:rFonts w:cs="Arial"/>
          <w:sz w:val="22"/>
          <w:szCs w:val="22"/>
        </w:rPr>
        <w:t xml:space="preserve">shall </w:t>
      </w:r>
      <w:r w:rsidR="00353504">
        <w:rPr>
          <w:rFonts w:cs="Arial"/>
          <w:sz w:val="22"/>
          <w:szCs w:val="22"/>
        </w:rPr>
        <w:t xml:space="preserve">register them </w:t>
      </w:r>
      <w:r w:rsidR="00353504" w:rsidRPr="00353504">
        <w:rPr>
          <w:rFonts w:cs="Arial"/>
          <w:sz w:val="22"/>
          <w:szCs w:val="22"/>
        </w:rPr>
        <w:t xml:space="preserve">as a LEED project with the USGBC. The </w:t>
      </w:r>
      <w:r w:rsidR="00F24AD6">
        <w:rPr>
          <w:rFonts w:cs="Arial"/>
          <w:sz w:val="22"/>
          <w:szCs w:val="22"/>
        </w:rPr>
        <w:t>Architect-Engineer</w:t>
      </w:r>
      <w:r w:rsidR="00353504" w:rsidRPr="00353504">
        <w:rPr>
          <w:rFonts w:cs="Arial"/>
          <w:sz w:val="22"/>
          <w:szCs w:val="22"/>
        </w:rPr>
        <w:t xml:space="preserve"> shall determine the appropriate LEED checklist and shall identify, with the Owner’s assistance, the LEED credits appropriate for the project</w:t>
      </w:r>
      <w:r w:rsidR="00353504">
        <w:rPr>
          <w:rFonts w:cs="Arial"/>
          <w:sz w:val="22"/>
          <w:szCs w:val="22"/>
        </w:rPr>
        <w:t>.</w:t>
      </w:r>
      <w:r w:rsidR="00353504" w:rsidRPr="00353504">
        <w:rPr>
          <w:rFonts w:cs="Arial"/>
          <w:sz w:val="22"/>
          <w:szCs w:val="22"/>
        </w:rPr>
        <w:t xml:space="preserve"> The</w:t>
      </w:r>
      <w:r w:rsidR="00C0644C">
        <w:rPr>
          <w:rFonts w:cs="Arial"/>
          <w:sz w:val="22"/>
          <w:szCs w:val="22"/>
        </w:rPr>
        <w:t xml:space="preserve"> </w:t>
      </w:r>
      <w:r w:rsidR="00F24AD6">
        <w:rPr>
          <w:rFonts w:cs="Arial"/>
          <w:sz w:val="22"/>
          <w:szCs w:val="22"/>
        </w:rPr>
        <w:t>Architect-Engineer</w:t>
      </w:r>
      <w:r w:rsidR="00F24AD6" w:rsidRPr="00353504">
        <w:rPr>
          <w:rFonts w:cs="Arial"/>
          <w:sz w:val="22"/>
          <w:szCs w:val="22"/>
        </w:rPr>
        <w:t xml:space="preserve"> </w:t>
      </w:r>
      <w:r w:rsidR="00353504" w:rsidRPr="00353504">
        <w:rPr>
          <w:rFonts w:cs="Arial"/>
          <w:sz w:val="22"/>
          <w:szCs w:val="22"/>
        </w:rPr>
        <w:t>shall conduct design activities accordingly to achieve the desired credits</w:t>
      </w:r>
      <w:r w:rsidR="00353504">
        <w:rPr>
          <w:rFonts w:cs="Arial"/>
          <w:sz w:val="22"/>
          <w:szCs w:val="22"/>
        </w:rPr>
        <w:t>.</w:t>
      </w:r>
      <w:r w:rsidR="00F378D2">
        <w:rPr>
          <w:rFonts w:cs="Arial"/>
          <w:sz w:val="22"/>
          <w:szCs w:val="22"/>
        </w:rPr>
        <w:t xml:space="preserve"> The </w:t>
      </w:r>
      <w:r w:rsidR="00F24AD6">
        <w:rPr>
          <w:rFonts w:cs="Arial"/>
          <w:sz w:val="22"/>
          <w:szCs w:val="22"/>
        </w:rPr>
        <w:t xml:space="preserve">Architect-Engineer </w:t>
      </w:r>
      <w:r w:rsidR="00F378D2">
        <w:rPr>
          <w:rFonts w:cs="Arial"/>
          <w:sz w:val="22"/>
          <w:szCs w:val="22"/>
        </w:rPr>
        <w:t xml:space="preserve">shall include Contractor requirements relating to LEED documentation and prepare and submit the LEED Design Application to the USGBC. </w:t>
      </w:r>
      <w:r w:rsidR="00C0644C">
        <w:rPr>
          <w:rFonts w:cs="Arial"/>
          <w:sz w:val="22"/>
          <w:szCs w:val="22"/>
        </w:rPr>
        <w:t xml:space="preserve">The </w:t>
      </w:r>
      <w:r w:rsidR="00B91B8F">
        <w:rPr>
          <w:rFonts w:cs="Arial"/>
          <w:sz w:val="22"/>
          <w:szCs w:val="22"/>
        </w:rPr>
        <w:t>Architect-Engineer</w:t>
      </w:r>
      <w:r w:rsidR="00F378D2">
        <w:rPr>
          <w:rFonts w:cs="Arial"/>
          <w:sz w:val="22"/>
          <w:szCs w:val="22"/>
        </w:rPr>
        <w:t xml:space="preserve"> will continue to </w:t>
      </w:r>
      <w:r w:rsidR="00C0644C">
        <w:rPr>
          <w:rFonts w:cs="Arial"/>
          <w:sz w:val="22"/>
          <w:szCs w:val="22"/>
        </w:rPr>
        <w:t>coordinate</w:t>
      </w:r>
      <w:r w:rsidR="00F378D2">
        <w:rPr>
          <w:rFonts w:cs="Arial"/>
          <w:sz w:val="22"/>
          <w:szCs w:val="22"/>
        </w:rPr>
        <w:t xml:space="preserve"> with the US</w:t>
      </w:r>
      <w:r w:rsidR="00C0644C">
        <w:rPr>
          <w:rFonts w:cs="Arial"/>
          <w:sz w:val="22"/>
          <w:szCs w:val="22"/>
        </w:rPr>
        <w:t>G</w:t>
      </w:r>
      <w:r w:rsidR="00F378D2">
        <w:rPr>
          <w:rFonts w:cs="Arial"/>
          <w:sz w:val="22"/>
          <w:szCs w:val="22"/>
        </w:rPr>
        <w:t xml:space="preserve">BC until the appropriate LEED certification is </w:t>
      </w:r>
      <w:r w:rsidR="00C0644C">
        <w:rPr>
          <w:rFonts w:cs="Arial"/>
          <w:sz w:val="22"/>
          <w:szCs w:val="22"/>
        </w:rPr>
        <w:t xml:space="preserve">achieved and </w:t>
      </w:r>
      <w:r w:rsidR="005D4C06">
        <w:rPr>
          <w:rFonts w:cs="Arial"/>
          <w:sz w:val="22"/>
          <w:szCs w:val="22"/>
        </w:rPr>
        <w:t>received</w:t>
      </w:r>
      <w:r w:rsidR="00C0644C">
        <w:rPr>
          <w:rFonts w:cs="Arial"/>
          <w:sz w:val="22"/>
          <w:szCs w:val="22"/>
        </w:rPr>
        <w:t>.</w:t>
      </w:r>
    </w:p>
    <w:p w14:paraId="556A736A" w14:textId="77777777" w:rsidR="00C0644C" w:rsidRDefault="00C0644C" w:rsidP="000A0DD0">
      <w:pPr>
        <w:autoSpaceDE w:val="0"/>
        <w:autoSpaceDN w:val="0"/>
        <w:adjustRightInd w:val="0"/>
        <w:ind w:left="360" w:hanging="360"/>
        <w:rPr>
          <w:rFonts w:cs="Arial"/>
          <w:sz w:val="22"/>
          <w:szCs w:val="22"/>
        </w:rPr>
      </w:pPr>
    </w:p>
    <w:p w14:paraId="6FDA988D" w14:textId="77777777" w:rsidR="00732141" w:rsidRPr="00353504" w:rsidRDefault="00C0644C" w:rsidP="000A0DD0">
      <w:pPr>
        <w:autoSpaceDE w:val="0"/>
        <w:autoSpaceDN w:val="0"/>
        <w:adjustRightInd w:val="0"/>
        <w:ind w:left="360"/>
        <w:rPr>
          <w:b/>
          <w:sz w:val="22"/>
          <w:szCs w:val="22"/>
        </w:rPr>
      </w:pPr>
      <w:r w:rsidRPr="00353504">
        <w:rPr>
          <w:rFonts w:cs="Arial"/>
          <w:sz w:val="22"/>
          <w:szCs w:val="22"/>
        </w:rPr>
        <w:t>The</w:t>
      </w:r>
      <w:r w:rsidR="00353504" w:rsidRPr="00353504">
        <w:rPr>
          <w:rFonts w:cs="Arial"/>
          <w:sz w:val="22"/>
          <w:szCs w:val="22"/>
        </w:rPr>
        <w:t xml:space="preserve"> Ar</w:t>
      </w:r>
      <w:r w:rsidR="00353504">
        <w:rPr>
          <w:rFonts w:cs="Arial"/>
          <w:sz w:val="22"/>
          <w:szCs w:val="22"/>
        </w:rPr>
        <w:t xml:space="preserve">chitect/Engineer shall provide </w:t>
      </w:r>
      <w:r w:rsidR="00353504" w:rsidRPr="00353504">
        <w:rPr>
          <w:rFonts w:cs="Arial"/>
          <w:sz w:val="22"/>
          <w:szCs w:val="22"/>
        </w:rPr>
        <w:t>energy model</w:t>
      </w:r>
      <w:r w:rsidR="00353504">
        <w:rPr>
          <w:rFonts w:cs="Arial"/>
          <w:sz w:val="22"/>
          <w:szCs w:val="22"/>
        </w:rPr>
        <w:t>s throughout all design phases of the project</w:t>
      </w:r>
      <w:r w:rsidR="00353504" w:rsidRPr="00353504">
        <w:rPr>
          <w:rFonts w:cs="Arial"/>
          <w:sz w:val="22"/>
          <w:szCs w:val="22"/>
        </w:rPr>
        <w:t xml:space="preserve"> as required to document</w:t>
      </w:r>
      <w:r w:rsidR="00353504">
        <w:rPr>
          <w:rFonts w:cs="Arial"/>
          <w:sz w:val="22"/>
          <w:szCs w:val="22"/>
        </w:rPr>
        <w:t xml:space="preserve"> </w:t>
      </w:r>
      <w:r w:rsidR="00353504" w:rsidRPr="00353504">
        <w:rPr>
          <w:rFonts w:cs="Arial"/>
          <w:sz w:val="22"/>
          <w:szCs w:val="22"/>
        </w:rPr>
        <w:t xml:space="preserve">compliance with the required number of points for </w:t>
      </w:r>
      <w:r w:rsidR="00F378D2">
        <w:rPr>
          <w:rFonts w:cs="Arial"/>
          <w:sz w:val="22"/>
          <w:szCs w:val="22"/>
        </w:rPr>
        <w:t xml:space="preserve">LEED </w:t>
      </w:r>
      <w:r w:rsidR="00353504" w:rsidRPr="00353504">
        <w:rPr>
          <w:rFonts w:cs="Arial"/>
          <w:sz w:val="22"/>
          <w:szCs w:val="22"/>
        </w:rPr>
        <w:t>Energy and Atmosphere Credit 1.</w:t>
      </w:r>
    </w:p>
    <w:p w14:paraId="301B3A68" w14:textId="77777777" w:rsidR="00E5590E" w:rsidRDefault="00E5590E" w:rsidP="000A0DD0">
      <w:pPr>
        <w:ind w:left="360" w:hanging="360"/>
        <w:jc w:val="both"/>
        <w:rPr>
          <w:b/>
          <w:sz w:val="22"/>
          <w:szCs w:val="22"/>
        </w:rPr>
      </w:pPr>
    </w:p>
    <w:p w14:paraId="1F9C71E3" w14:textId="77777777" w:rsidR="00732141" w:rsidRDefault="00E87C47" w:rsidP="000A0DD0">
      <w:pPr>
        <w:ind w:left="360" w:hanging="360"/>
        <w:jc w:val="both"/>
        <w:rPr>
          <w:b/>
          <w:sz w:val="22"/>
          <w:szCs w:val="22"/>
        </w:rPr>
      </w:pPr>
      <w:r>
        <w:rPr>
          <w:b/>
          <w:sz w:val="22"/>
          <w:szCs w:val="22"/>
        </w:rPr>
        <w:t>106.6.A</w:t>
      </w:r>
      <w:r w:rsidR="00E5590E">
        <w:rPr>
          <w:b/>
          <w:sz w:val="22"/>
          <w:szCs w:val="22"/>
        </w:rPr>
        <w:t xml:space="preserve"> EKU Sustainable Building Guidelines</w:t>
      </w:r>
      <w:r>
        <w:rPr>
          <w:b/>
          <w:sz w:val="22"/>
          <w:szCs w:val="22"/>
        </w:rPr>
        <w:t xml:space="preserve"> shall be complied and can be accessed by the link below:</w:t>
      </w:r>
    </w:p>
    <w:p w14:paraId="4FC9DD97" w14:textId="77777777" w:rsidR="00E87C47" w:rsidRDefault="00BA6F95" w:rsidP="000A0DD0">
      <w:pPr>
        <w:ind w:left="360" w:hanging="360"/>
        <w:jc w:val="both"/>
        <w:rPr>
          <w:b/>
          <w:sz w:val="22"/>
          <w:szCs w:val="22"/>
        </w:rPr>
      </w:pPr>
      <w:hyperlink r:id="rId8" w:history="1">
        <w:r w:rsidR="00BC372A" w:rsidRPr="008C23DE">
          <w:rPr>
            <w:rStyle w:val="Hyperlink"/>
            <w:b/>
            <w:sz w:val="22"/>
            <w:szCs w:val="22"/>
          </w:rPr>
          <w:t>http://projectadmin.eku.edu/sites/projectadmin.eku.edu/files/00106.7_sustainability_building_guidelines.pdf</w:t>
        </w:r>
      </w:hyperlink>
    </w:p>
    <w:p w14:paraId="0E46D8AE" w14:textId="77777777" w:rsidR="00E5590E" w:rsidRPr="00E2292A" w:rsidRDefault="00E5590E" w:rsidP="000A0DD0">
      <w:pPr>
        <w:ind w:left="360" w:hanging="360"/>
        <w:jc w:val="both"/>
        <w:rPr>
          <w:b/>
          <w:sz w:val="22"/>
          <w:szCs w:val="22"/>
        </w:rPr>
      </w:pPr>
    </w:p>
    <w:p w14:paraId="4EF33120" w14:textId="77777777" w:rsidR="0044772F" w:rsidRPr="00F03C5D" w:rsidRDefault="00E87C47" w:rsidP="000A0DD0">
      <w:pPr>
        <w:ind w:left="360" w:hanging="360"/>
        <w:jc w:val="both"/>
        <w:rPr>
          <w:sz w:val="22"/>
        </w:rPr>
      </w:pPr>
      <w:r>
        <w:rPr>
          <w:b/>
          <w:sz w:val="22"/>
        </w:rPr>
        <w:t>106.7</w:t>
      </w:r>
      <w:r w:rsidR="000B6891">
        <w:rPr>
          <w:b/>
          <w:sz w:val="22"/>
        </w:rPr>
        <w:t xml:space="preserve"> </w:t>
      </w:r>
      <w:r w:rsidR="0044772F" w:rsidRPr="00F03C5D">
        <w:rPr>
          <w:b/>
          <w:sz w:val="22"/>
        </w:rPr>
        <w:t xml:space="preserve">Design Schedule: </w:t>
      </w:r>
      <w:r w:rsidR="0044772F" w:rsidRPr="00F03C5D">
        <w:rPr>
          <w:sz w:val="22"/>
        </w:rPr>
        <w:t>The Architect-Engineer shall prepare and submit to the Project Manager for approval a design schedule including the following:</w:t>
      </w:r>
    </w:p>
    <w:p w14:paraId="62B06F04" w14:textId="77777777" w:rsidR="0044772F" w:rsidRPr="00F03C5D" w:rsidRDefault="0044772F" w:rsidP="000A0DD0">
      <w:pPr>
        <w:ind w:left="360" w:hanging="360"/>
        <w:jc w:val="both"/>
        <w:rPr>
          <w:sz w:val="22"/>
        </w:rPr>
      </w:pPr>
      <w:r w:rsidRPr="00F03C5D">
        <w:rPr>
          <w:sz w:val="22"/>
        </w:rPr>
        <w:t xml:space="preserve"> </w:t>
      </w:r>
    </w:p>
    <w:p w14:paraId="259FD6DA" w14:textId="77777777" w:rsidR="0044772F" w:rsidRPr="00F03C5D" w:rsidRDefault="0044772F" w:rsidP="000A0DD0">
      <w:pPr>
        <w:numPr>
          <w:ilvl w:val="0"/>
          <w:numId w:val="12"/>
        </w:numPr>
        <w:tabs>
          <w:tab w:val="left" w:pos="1170"/>
        </w:tabs>
        <w:ind w:left="1170" w:hanging="450"/>
        <w:jc w:val="both"/>
        <w:rPr>
          <w:sz w:val="22"/>
        </w:rPr>
      </w:pPr>
      <w:r w:rsidRPr="00F03C5D">
        <w:rPr>
          <w:sz w:val="22"/>
        </w:rPr>
        <w:t xml:space="preserve">Milestones as originally outlined in the RFP or as provided by the Owner’s Project Requirements.  </w:t>
      </w:r>
    </w:p>
    <w:p w14:paraId="00024057" w14:textId="77777777" w:rsidR="0044772F" w:rsidRPr="00F03C5D" w:rsidRDefault="0044772F" w:rsidP="000A0DD0">
      <w:pPr>
        <w:numPr>
          <w:ilvl w:val="0"/>
          <w:numId w:val="12"/>
        </w:numPr>
        <w:tabs>
          <w:tab w:val="left" w:pos="1170"/>
        </w:tabs>
        <w:ind w:firstLine="0"/>
        <w:jc w:val="both"/>
        <w:rPr>
          <w:sz w:val="22"/>
        </w:rPr>
      </w:pPr>
      <w:r w:rsidRPr="00F03C5D">
        <w:rPr>
          <w:sz w:val="22"/>
        </w:rPr>
        <w:t>Significant milestones such as review submittals</w:t>
      </w:r>
      <w:r w:rsidR="00FE094B">
        <w:rPr>
          <w:sz w:val="22"/>
        </w:rPr>
        <w:t>.</w:t>
      </w:r>
      <w:r w:rsidRPr="00F03C5D">
        <w:rPr>
          <w:sz w:val="22"/>
        </w:rPr>
        <w:t xml:space="preserve"> </w:t>
      </w:r>
    </w:p>
    <w:p w14:paraId="716B0698" w14:textId="77777777" w:rsidR="0044772F" w:rsidRPr="00F03C5D" w:rsidRDefault="0044772F" w:rsidP="000A0DD0">
      <w:pPr>
        <w:numPr>
          <w:ilvl w:val="0"/>
          <w:numId w:val="12"/>
        </w:numPr>
        <w:ind w:left="1170" w:hanging="450"/>
        <w:jc w:val="both"/>
        <w:rPr>
          <w:sz w:val="22"/>
        </w:rPr>
      </w:pPr>
      <w:r w:rsidRPr="00F03C5D">
        <w:rPr>
          <w:sz w:val="22"/>
        </w:rPr>
        <w:t xml:space="preserve">An updated design schedule will be submitted at each design review meeting or when the progress of the project has significantly changed.  </w:t>
      </w:r>
    </w:p>
    <w:p w14:paraId="31E8EFE1" w14:textId="77777777" w:rsidR="0044772F" w:rsidRPr="00F03C5D" w:rsidRDefault="0044772F" w:rsidP="000A0DD0">
      <w:pPr>
        <w:ind w:left="360" w:hanging="360"/>
        <w:jc w:val="both"/>
        <w:rPr>
          <w:sz w:val="22"/>
        </w:rPr>
      </w:pPr>
    </w:p>
    <w:p w14:paraId="50475956" w14:textId="77777777" w:rsidR="0044772F" w:rsidRPr="00F03C5D" w:rsidRDefault="0044772F" w:rsidP="000A0DD0">
      <w:pPr>
        <w:ind w:left="360"/>
        <w:jc w:val="both"/>
        <w:rPr>
          <w:sz w:val="22"/>
        </w:rPr>
      </w:pPr>
      <w:r w:rsidRPr="00F03C5D">
        <w:rPr>
          <w:sz w:val="22"/>
        </w:rPr>
        <w:t>The Architect-Engineer shall submit the Design Schedule to the Project Manager for review and approval within ten (10) working days following the Initial Meeting.</w:t>
      </w:r>
    </w:p>
    <w:p w14:paraId="5C3B26D6" w14:textId="77777777" w:rsidR="0044772F" w:rsidRPr="00F03C5D" w:rsidRDefault="0044772F" w:rsidP="000A0DD0">
      <w:pPr>
        <w:ind w:left="360" w:hanging="360"/>
        <w:jc w:val="both"/>
        <w:rPr>
          <w:sz w:val="22"/>
        </w:rPr>
      </w:pPr>
    </w:p>
    <w:p w14:paraId="644DBD7A" w14:textId="77777777" w:rsidR="0044772F" w:rsidRPr="00F03C5D" w:rsidRDefault="0044772F" w:rsidP="000A0DD0">
      <w:pPr>
        <w:ind w:left="360"/>
        <w:jc w:val="both"/>
        <w:rPr>
          <w:sz w:val="22"/>
        </w:rPr>
      </w:pPr>
      <w:r w:rsidRPr="00F03C5D">
        <w:rPr>
          <w:sz w:val="22"/>
        </w:rPr>
        <w:t xml:space="preserve">The Architect-Engineer shall assign sufficient personnel to identify all major tasks, including </w:t>
      </w:r>
      <w:r w:rsidR="00FD38FA">
        <w:rPr>
          <w:sz w:val="22"/>
        </w:rPr>
        <w:t xml:space="preserve">the </w:t>
      </w:r>
      <w:r w:rsidR="00FD38FA" w:rsidRPr="00F03C5D">
        <w:rPr>
          <w:sz w:val="22"/>
        </w:rPr>
        <w:t>internal monitor</w:t>
      </w:r>
      <w:r w:rsidR="00FD38FA">
        <w:rPr>
          <w:sz w:val="22"/>
        </w:rPr>
        <w:t xml:space="preserve">ing of </w:t>
      </w:r>
      <w:r w:rsidR="00FD38FA" w:rsidRPr="00F03C5D">
        <w:rPr>
          <w:sz w:val="22"/>
        </w:rPr>
        <w:t xml:space="preserve">scheduling </w:t>
      </w:r>
      <w:r w:rsidRPr="00F03C5D">
        <w:rPr>
          <w:sz w:val="22"/>
        </w:rPr>
        <w:t xml:space="preserve">those that control the flow of work. The Project Manager shall be notified in writing should a delay in the work be identified.  </w:t>
      </w:r>
    </w:p>
    <w:p w14:paraId="156AD414" w14:textId="77777777" w:rsidR="0044772F" w:rsidRPr="00F03C5D" w:rsidRDefault="0044772F" w:rsidP="000A0DD0">
      <w:pPr>
        <w:ind w:left="360" w:hanging="360"/>
        <w:jc w:val="both"/>
        <w:rPr>
          <w:sz w:val="22"/>
        </w:rPr>
      </w:pPr>
    </w:p>
    <w:p w14:paraId="3E56C62D" w14:textId="77777777" w:rsidR="0044772F" w:rsidRPr="00F03C5D" w:rsidRDefault="0044772F" w:rsidP="000A0DD0">
      <w:pPr>
        <w:ind w:left="360"/>
        <w:jc w:val="both"/>
        <w:rPr>
          <w:sz w:val="22"/>
        </w:rPr>
      </w:pPr>
      <w:r w:rsidRPr="00F03C5D">
        <w:rPr>
          <w:sz w:val="22"/>
        </w:rPr>
        <w:t xml:space="preserve">When a contract modification or project delay occurs, the Architect-Engineer shall submit a revised design schedule reflecting the change within five (5) working days of the receipt of the request for change. </w:t>
      </w:r>
    </w:p>
    <w:p w14:paraId="21FD8E0E" w14:textId="77777777" w:rsidR="0044772F" w:rsidRPr="00F03C5D" w:rsidRDefault="0044772F" w:rsidP="000A0DD0">
      <w:pPr>
        <w:ind w:left="360" w:hanging="360"/>
        <w:jc w:val="both"/>
        <w:rPr>
          <w:sz w:val="22"/>
        </w:rPr>
      </w:pPr>
    </w:p>
    <w:p w14:paraId="173F8388" w14:textId="77777777" w:rsidR="0044772F" w:rsidRPr="00F03C5D" w:rsidRDefault="0044772F" w:rsidP="000A0DD0">
      <w:pPr>
        <w:ind w:left="360"/>
        <w:jc w:val="both"/>
        <w:rPr>
          <w:sz w:val="22"/>
        </w:rPr>
      </w:pPr>
      <w:r w:rsidRPr="00F03C5D">
        <w:rPr>
          <w:sz w:val="22"/>
        </w:rPr>
        <w:t xml:space="preserve">The submittal dates established by the design schedule are to be delivery dates to all project participants as directed by the Project Manager. </w:t>
      </w:r>
    </w:p>
    <w:p w14:paraId="7AA5C714" w14:textId="77777777" w:rsidR="006E60D4" w:rsidRDefault="006E60D4" w:rsidP="00F50EB7">
      <w:pPr>
        <w:ind w:left="360" w:hanging="360"/>
        <w:jc w:val="both"/>
        <w:rPr>
          <w:rFonts w:cs="Arial"/>
          <w:b/>
          <w:sz w:val="22"/>
        </w:rPr>
      </w:pPr>
    </w:p>
    <w:p w14:paraId="44D33FD4" w14:textId="77777777" w:rsidR="003758DF" w:rsidRDefault="000B6891" w:rsidP="00F50EB7">
      <w:pPr>
        <w:ind w:left="360" w:hanging="360"/>
        <w:jc w:val="both"/>
        <w:rPr>
          <w:rFonts w:cs="Arial"/>
          <w:b/>
          <w:sz w:val="22"/>
        </w:rPr>
      </w:pPr>
      <w:r>
        <w:rPr>
          <w:rFonts w:cs="Arial"/>
          <w:b/>
          <w:sz w:val="22"/>
        </w:rPr>
        <w:t>106.</w:t>
      </w:r>
      <w:r w:rsidR="00E87C47">
        <w:rPr>
          <w:rFonts w:cs="Arial"/>
          <w:b/>
          <w:sz w:val="22"/>
        </w:rPr>
        <w:t>8</w:t>
      </w:r>
      <w:r>
        <w:rPr>
          <w:rFonts w:cs="Arial"/>
          <w:b/>
          <w:sz w:val="22"/>
        </w:rPr>
        <w:t xml:space="preserve"> Meetings</w:t>
      </w:r>
      <w:r w:rsidR="00F50EB7">
        <w:rPr>
          <w:rFonts w:cs="Arial"/>
          <w:b/>
          <w:sz w:val="22"/>
        </w:rPr>
        <w:t xml:space="preserve">: </w:t>
      </w:r>
      <w:r w:rsidR="00F50EB7" w:rsidRPr="00F50EB7">
        <w:rPr>
          <w:rFonts w:cs="Arial"/>
          <w:sz w:val="22"/>
        </w:rPr>
        <w:t>The Architect-Engineer shall, coordinate, p</w:t>
      </w:r>
      <w:r w:rsidR="003758DF" w:rsidRPr="00F50EB7">
        <w:rPr>
          <w:rFonts w:cs="Arial"/>
          <w:sz w:val="22"/>
        </w:rPr>
        <w:t>articipat</w:t>
      </w:r>
      <w:r w:rsidR="00F50EB7" w:rsidRPr="00F50EB7">
        <w:rPr>
          <w:rFonts w:cs="Arial"/>
          <w:sz w:val="22"/>
        </w:rPr>
        <w:t>e and d</w:t>
      </w:r>
      <w:r w:rsidR="003758DF" w:rsidRPr="00F50EB7">
        <w:rPr>
          <w:rFonts w:cs="Arial"/>
          <w:sz w:val="22"/>
        </w:rPr>
        <w:t>ocument</w:t>
      </w:r>
      <w:r w:rsidR="00F50EB7" w:rsidRPr="00F50EB7">
        <w:rPr>
          <w:rFonts w:cs="Arial"/>
          <w:sz w:val="22"/>
        </w:rPr>
        <w:t xml:space="preserve"> all meetings as follows:</w:t>
      </w:r>
      <w:r w:rsidR="000A0DD0">
        <w:rPr>
          <w:rFonts w:cs="Arial"/>
          <w:b/>
          <w:sz w:val="22"/>
        </w:rPr>
        <w:t xml:space="preserve"> </w:t>
      </w:r>
    </w:p>
    <w:p w14:paraId="774481B4" w14:textId="77777777" w:rsidR="000B6891" w:rsidRDefault="000B6891">
      <w:pPr>
        <w:jc w:val="both"/>
        <w:rPr>
          <w:rFonts w:cs="Arial"/>
          <w:b/>
          <w:sz w:val="22"/>
        </w:rPr>
      </w:pPr>
    </w:p>
    <w:p w14:paraId="1A30C07E" w14:textId="77777777" w:rsidR="0044772F" w:rsidRPr="00F03C5D" w:rsidRDefault="0044772F" w:rsidP="000A0DD0">
      <w:pPr>
        <w:numPr>
          <w:ilvl w:val="0"/>
          <w:numId w:val="7"/>
        </w:numPr>
        <w:ind w:left="1080"/>
        <w:jc w:val="both"/>
        <w:rPr>
          <w:sz w:val="22"/>
        </w:rPr>
      </w:pPr>
      <w:r w:rsidRPr="00E2292A">
        <w:rPr>
          <w:rFonts w:cs="Arial"/>
          <w:b/>
          <w:sz w:val="22"/>
        </w:rPr>
        <w:t>Site Visit/ Project Discussions:</w:t>
      </w:r>
      <w:r w:rsidRPr="00E2292A">
        <w:rPr>
          <w:rFonts w:cs="Arial"/>
          <w:sz w:val="22"/>
        </w:rPr>
        <w:t xml:space="preserve"> </w:t>
      </w:r>
      <w:r w:rsidR="00637194" w:rsidRPr="00E2292A">
        <w:rPr>
          <w:rFonts w:cs="Arial"/>
          <w:sz w:val="22"/>
        </w:rPr>
        <w:t>Site visits shall be arranged through the Project Manager, or at the direction of the Project Manager through the Using Agency Representative. The Architect-Engineer shall prepare a written record of each site visit and/or significant project discussion</w:t>
      </w:r>
      <w:r w:rsidR="00C1181E">
        <w:rPr>
          <w:rFonts w:cs="Arial"/>
          <w:sz w:val="22"/>
        </w:rPr>
        <w:t xml:space="preserve"> and submit to the Project Manager</w:t>
      </w:r>
      <w:r w:rsidR="004C3785">
        <w:rPr>
          <w:rFonts w:cs="Arial"/>
          <w:sz w:val="22"/>
        </w:rPr>
        <w:t>.</w:t>
      </w:r>
      <w:r w:rsidR="00C1181E">
        <w:rPr>
          <w:sz w:val="22"/>
        </w:rPr>
        <w:t xml:space="preserve"> </w:t>
      </w:r>
      <w:r w:rsidR="00637194" w:rsidRPr="00E2292A">
        <w:rPr>
          <w:sz w:val="22"/>
        </w:rPr>
        <w:t xml:space="preserve">Site </w:t>
      </w:r>
      <w:r w:rsidR="00637194" w:rsidRPr="00E2292A">
        <w:rPr>
          <w:sz w:val="22"/>
        </w:rPr>
        <w:lastRenderedPageBreak/>
        <w:t xml:space="preserve">investigations must be sufficiently thorough to ensure that design details are compatible with the existing conditions at the project site. </w:t>
      </w:r>
    </w:p>
    <w:p w14:paraId="5B555D0A" w14:textId="77777777" w:rsidR="0044772F" w:rsidRPr="00F03C5D" w:rsidRDefault="0044772F" w:rsidP="000A0DD0">
      <w:pPr>
        <w:pStyle w:val="Footer"/>
        <w:tabs>
          <w:tab w:val="clear" w:pos="4320"/>
          <w:tab w:val="clear" w:pos="8640"/>
        </w:tabs>
        <w:ind w:left="1440" w:hanging="360"/>
        <w:rPr>
          <w:sz w:val="22"/>
        </w:rPr>
      </w:pPr>
    </w:p>
    <w:p w14:paraId="74DF3C78" w14:textId="58E2F543" w:rsidR="00C1181E" w:rsidRPr="00797614" w:rsidRDefault="00E2292A" w:rsidP="000A0DD0">
      <w:pPr>
        <w:numPr>
          <w:ilvl w:val="0"/>
          <w:numId w:val="7"/>
        </w:numPr>
        <w:ind w:left="1080"/>
        <w:jc w:val="both"/>
        <w:rPr>
          <w:sz w:val="22"/>
          <w:szCs w:val="22"/>
        </w:rPr>
      </w:pPr>
      <w:r w:rsidRPr="00797614">
        <w:rPr>
          <w:b/>
          <w:sz w:val="22"/>
        </w:rPr>
        <w:t>Commissioning Reviews and Meetings:</w:t>
      </w:r>
      <w:r w:rsidRPr="00797614">
        <w:rPr>
          <w:sz w:val="22"/>
        </w:rPr>
        <w:t xml:space="preserve"> </w:t>
      </w:r>
      <w:r w:rsidRPr="00797614">
        <w:rPr>
          <w:rFonts w:cs="Arial"/>
          <w:sz w:val="22"/>
          <w:szCs w:val="22"/>
        </w:rPr>
        <w:t>The</w:t>
      </w:r>
      <w:r>
        <w:rPr>
          <w:rFonts w:cs="Arial"/>
          <w:sz w:val="22"/>
          <w:szCs w:val="22"/>
        </w:rPr>
        <w:t xml:space="preserve"> Architect/Engineer shall participate with the </w:t>
      </w:r>
      <w:r w:rsidR="00FE094B">
        <w:rPr>
          <w:rFonts w:cs="Arial"/>
          <w:sz w:val="22"/>
          <w:szCs w:val="22"/>
        </w:rPr>
        <w:t>C</w:t>
      </w:r>
      <w:r w:rsidR="00FE094B" w:rsidRPr="00353504">
        <w:rPr>
          <w:rFonts w:cs="Arial"/>
          <w:sz w:val="22"/>
          <w:szCs w:val="22"/>
        </w:rPr>
        <w:t xml:space="preserve">ommissioning </w:t>
      </w:r>
      <w:r w:rsidR="00FE094B">
        <w:rPr>
          <w:rFonts w:cs="Arial"/>
          <w:sz w:val="22"/>
          <w:szCs w:val="22"/>
        </w:rPr>
        <w:t>A</w:t>
      </w:r>
      <w:r w:rsidR="00FE094B" w:rsidRPr="00353504">
        <w:rPr>
          <w:rFonts w:cs="Arial"/>
          <w:sz w:val="22"/>
          <w:szCs w:val="22"/>
        </w:rPr>
        <w:t xml:space="preserve">uthority </w:t>
      </w:r>
      <w:r>
        <w:rPr>
          <w:rFonts w:cs="Arial"/>
          <w:sz w:val="22"/>
          <w:szCs w:val="22"/>
        </w:rPr>
        <w:t>throughout the project and develop</w:t>
      </w:r>
      <w:r w:rsidRPr="00353504">
        <w:rPr>
          <w:rFonts w:cs="Arial"/>
          <w:sz w:val="22"/>
          <w:szCs w:val="22"/>
        </w:rPr>
        <w:t xml:space="preserve"> a Basis of Design (BOD) based on the</w:t>
      </w:r>
      <w:r>
        <w:rPr>
          <w:rFonts w:cs="Arial"/>
          <w:sz w:val="22"/>
          <w:szCs w:val="22"/>
        </w:rPr>
        <w:t xml:space="preserve"> </w:t>
      </w:r>
      <w:r w:rsidR="00BA6F95">
        <w:rPr>
          <w:rFonts w:cs="Arial"/>
          <w:sz w:val="22"/>
          <w:szCs w:val="22"/>
        </w:rPr>
        <w:t>DFMS Project Management’s</w:t>
      </w:r>
      <w:r w:rsidRPr="00353504">
        <w:rPr>
          <w:rFonts w:cs="Arial"/>
          <w:sz w:val="22"/>
          <w:szCs w:val="22"/>
        </w:rPr>
        <w:t xml:space="preserve"> Project Requirements (OPR).</w:t>
      </w:r>
      <w:r w:rsidRPr="00E2292A">
        <w:rPr>
          <w:color w:val="FF0000"/>
          <w:sz w:val="22"/>
          <w:szCs w:val="22"/>
        </w:rPr>
        <w:t xml:space="preserve"> </w:t>
      </w:r>
      <w:r w:rsidRPr="00797614">
        <w:rPr>
          <w:sz w:val="22"/>
        </w:rPr>
        <w:t xml:space="preserve">The Architect-Engineer shall facilitate interim reviews for each phase of design with the Commissioning </w:t>
      </w:r>
      <w:r w:rsidR="00BA6F95" w:rsidRPr="00797614">
        <w:rPr>
          <w:sz w:val="22"/>
        </w:rPr>
        <w:t>Authority and</w:t>
      </w:r>
      <w:r w:rsidRPr="00797614">
        <w:rPr>
          <w:sz w:val="22"/>
        </w:rPr>
        <w:t xml:space="preserve"> shall actively evaluate the list of commissioning review comments to ensure that each comment has been adequately addressed.</w:t>
      </w:r>
      <w:r>
        <w:rPr>
          <w:color w:val="FF0000"/>
          <w:sz w:val="22"/>
          <w:szCs w:val="22"/>
        </w:rPr>
        <w:t xml:space="preserve"> </w:t>
      </w:r>
      <w:r w:rsidRPr="00797614">
        <w:rPr>
          <w:sz w:val="22"/>
          <w:szCs w:val="22"/>
        </w:rPr>
        <w:t>The Architect-Engineer shall participate in appropriate Commissioning Team meetings.</w:t>
      </w:r>
    </w:p>
    <w:p w14:paraId="331FC0C1" w14:textId="77777777" w:rsidR="00C1181E" w:rsidRPr="00797614" w:rsidRDefault="00C1181E" w:rsidP="000A0DD0">
      <w:pPr>
        <w:autoSpaceDE w:val="0"/>
        <w:autoSpaceDN w:val="0"/>
        <w:adjustRightInd w:val="0"/>
        <w:ind w:left="1080" w:hanging="360"/>
        <w:rPr>
          <w:color w:val="9BBB59"/>
          <w:sz w:val="22"/>
        </w:rPr>
      </w:pPr>
    </w:p>
    <w:p w14:paraId="64327B03" w14:textId="77777777" w:rsidR="0044772F" w:rsidRPr="00F03C5D" w:rsidRDefault="0044772F" w:rsidP="000A0DD0">
      <w:pPr>
        <w:numPr>
          <w:ilvl w:val="0"/>
          <w:numId w:val="7"/>
        </w:numPr>
        <w:ind w:left="1080"/>
        <w:jc w:val="both"/>
        <w:rPr>
          <w:sz w:val="22"/>
        </w:rPr>
      </w:pPr>
      <w:r w:rsidRPr="00F03C5D">
        <w:rPr>
          <w:b/>
          <w:sz w:val="22"/>
        </w:rPr>
        <w:t>Project Meetings:</w:t>
      </w:r>
      <w:r w:rsidRPr="00F03C5D">
        <w:rPr>
          <w:sz w:val="22"/>
        </w:rPr>
        <w:t xml:space="preserve"> The Architect-Engineer shall prepare written minutes of each project meeting and shall furnish this record within five (5) working days to the Project Manager with copies to all meeting attendees. The written minutes will include the project name and names of all participants, a paraphrase of all discussions, and listing of issues that require follow-up or response. </w:t>
      </w:r>
    </w:p>
    <w:p w14:paraId="7FA60631" w14:textId="77777777" w:rsidR="0044772F" w:rsidRPr="00F03C5D" w:rsidRDefault="0044772F" w:rsidP="000A0DD0">
      <w:pPr>
        <w:ind w:left="1080" w:hanging="360"/>
        <w:jc w:val="both"/>
        <w:rPr>
          <w:sz w:val="22"/>
        </w:rPr>
      </w:pPr>
    </w:p>
    <w:p w14:paraId="1F48796B" w14:textId="77777777" w:rsidR="0044772F" w:rsidRPr="00F03C5D" w:rsidRDefault="000A0DD0" w:rsidP="000A0DD0">
      <w:pPr>
        <w:numPr>
          <w:ilvl w:val="0"/>
          <w:numId w:val="7"/>
        </w:numPr>
        <w:ind w:left="1080"/>
        <w:jc w:val="both"/>
        <w:rPr>
          <w:sz w:val="22"/>
        </w:rPr>
      </w:pPr>
      <w:r w:rsidRPr="000A0DD0">
        <w:rPr>
          <w:b/>
          <w:sz w:val="22"/>
        </w:rPr>
        <w:t>Additional Meetings:</w:t>
      </w:r>
      <w:r>
        <w:rPr>
          <w:sz w:val="22"/>
        </w:rPr>
        <w:t xml:space="preserve"> </w:t>
      </w:r>
      <w:r w:rsidR="0044772F" w:rsidRPr="00F03C5D">
        <w:rPr>
          <w:sz w:val="22"/>
        </w:rPr>
        <w:t>The Project Manager may require additional project meetings during the course of the design or construction of the project. The Architect-Engineer may also request additional project meetings subject to the Project Manager’s approval.</w:t>
      </w:r>
    </w:p>
    <w:p w14:paraId="3A66BBD6" w14:textId="77777777" w:rsidR="0044772F" w:rsidRPr="00F03C5D" w:rsidRDefault="0044772F">
      <w:pPr>
        <w:ind w:left="720"/>
        <w:jc w:val="both"/>
        <w:rPr>
          <w:sz w:val="22"/>
        </w:rPr>
      </w:pPr>
    </w:p>
    <w:p w14:paraId="1240E2E7" w14:textId="77777777" w:rsidR="0044772F" w:rsidRPr="00F03C5D" w:rsidRDefault="00D11703" w:rsidP="000A0DD0">
      <w:pPr>
        <w:ind w:left="360" w:hanging="360"/>
        <w:jc w:val="both"/>
        <w:rPr>
          <w:sz w:val="22"/>
        </w:rPr>
      </w:pPr>
      <w:r>
        <w:rPr>
          <w:b/>
          <w:sz w:val="22"/>
        </w:rPr>
        <w:t>106.</w:t>
      </w:r>
      <w:r w:rsidR="00E87C47">
        <w:rPr>
          <w:b/>
          <w:sz w:val="22"/>
        </w:rPr>
        <w:t>9</w:t>
      </w:r>
      <w:r w:rsidR="000B6891">
        <w:rPr>
          <w:b/>
          <w:sz w:val="22"/>
        </w:rPr>
        <w:t xml:space="preserve"> </w:t>
      </w:r>
      <w:r w:rsidR="0044772F" w:rsidRPr="00F03C5D">
        <w:rPr>
          <w:b/>
          <w:sz w:val="22"/>
        </w:rPr>
        <w:t>Review Comments:</w:t>
      </w:r>
      <w:r w:rsidR="0044772F" w:rsidRPr="00F03C5D">
        <w:rPr>
          <w:sz w:val="22"/>
        </w:rPr>
        <w:t xml:space="preserve"> After each project submittal, the Architect-Engineer will be furnished design review comments from the Project Manager and the Using Agency Representative through the Project Manager. The Architect-Engineer shall actively review the comprehensive list of comments to ensure that each comment has been adequately addressed, either by incorporation into the project documents, or excepted as listed in the paragraph </w:t>
      </w:r>
      <w:r w:rsidR="000A0DD0" w:rsidRPr="00F03C5D">
        <w:rPr>
          <w:sz w:val="22"/>
        </w:rPr>
        <w:t>below. If</w:t>
      </w:r>
      <w:r w:rsidR="0044772F" w:rsidRPr="00F03C5D">
        <w:rPr>
          <w:sz w:val="22"/>
        </w:rPr>
        <w:t xml:space="preserve"> the Architect-Engineer disagrees technically with any comment and does not intend to comply with it, he shall clearly outline, with ample justification, the reasons for noncompliance within seven (7) working days after receipt in order that the comment can be resolved. </w:t>
      </w:r>
    </w:p>
    <w:p w14:paraId="5E4D6972" w14:textId="77777777" w:rsidR="0044772F" w:rsidRPr="00F03C5D" w:rsidRDefault="0044772F" w:rsidP="000A0DD0">
      <w:pPr>
        <w:ind w:left="360" w:hanging="360"/>
        <w:jc w:val="both"/>
        <w:rPr>
          <w:sz w:val="22"/>
        </w:rPr>
      </w:pPr>
    </w:p>
    <w:p w14:paraId="5AD316B9" w14:textId="7D40924E" w:rsidR="0044772F" w:rsidRPr="00F03C5D" w:rsidRDefault="000B6891" w:rsidP="000A0DD0">
      <w:pPr>
        <w:pStyle w:val="BodyText"/>
        <w:ind w:left="360" w:hanging="360"/>
        <w:jc w:val="both"/>
      </w:pPr>
      <w:r>
        <w:rPr>
          <w:b/>
        </w:rPr>
        <w:t>106.</w:t>
      </w:r>
      <w:r w:rsidR="00E87C47">
        <w:rPr>
          <w:b/>
        </w:rPr>
        <w:t>10</w:t>
      </w:r>
      <w:r>
        <w:rPr>
          <w:b/>
        </w:rPr>
        <w:t xml:space="preserve"> </w:t>
      </w:r>
      <w:r w:rsidR="0044772F" w:rsidRPr="00F03C5D">
        <w:rPr>
          <w:b/>
        </w:rPr>
        <w:t>Project Budget Limits:</w:t>
      </w:r>
      <w:r w:rsidR="0044772F" w:rsidRPr="00F03C5D">
        <w:t xml:space="preserve">  The design shall be limited as defined by the </w:t>
      </w:r>
      <w:r w:rsidR="00BA6F95">
        <w:rPr>
          <w:rFonts w:cs="Arial"/>
          <w:szCs w:val="22"/>
        </w:rPr>
        <w:t>DFMS Project Management’s</w:t>
      </w:r>
      <w:r w:rsidR="0044772F" w:rsidRPr="00F03C5D">
        <w:t xml:space="preserve"> Project Requirements, unless specific written consent is obtained from the Project Manager. The estimated construction cost of the completed design will not exceed the amount established by the </w:t>
      </w:r>
      <w:r w:rsidR="00BA6F95">
        <w:rPr>
          <w:rFonts w:cs="Arial"/>
          <w:szCs w:val="22"/>
        </w:rPr>
        <w:t>DFMS Project Management’s</w:t>
      </w:r>
      <w:r w:rsidR="00BA6F95" w:rsidRPr="00353504">
        <w:rPr>
          <w:rFonts w:cs="Arial"/>
          <w:szCs w:val="22"/>
        </w:rPr>
        <w:t xml:space="preserve"> </w:t>
      </w:r>
      <w:r w:rsidR="0044772F" w:rsidRPr="00F03C5D">
        <w:t xml:space="preserve">Project Requirements.  The Architect-Engineer shall design the project within the funding limitations.  Should the estimated cost exceed the funding limitations, the Architect-Engineer shall make recommendations for reducing the project scope and/or identifying optional bid items of work. </w:t>
      </w:r>
    </w:p>
    <w:p w14:paraId="6F1BAF04" w14:textId="77777777" w:rsidR="0044772F" w:rsidRPr="00F03C5D" w:rsidRDefault="0044772F" w:rsidP="000A0DD0">
      <w:pPr>
        <w:ind w:left="360" w:hanging="360"/>
        <w:jc w:val="both"/>
        <w:rPr>
          <w:sz w:val="22"/>
        </w:rPr>
      </w:pPr>
    </w:p>
    <w:p w14:paraId="1416174E" w14:textId="77777777" w:rsidR="0044772F" w:rsidRPr="00F03C5D" w:rsidRDefault="0044772F" w:rsidP="000A0DD0">
      <w:pPr>
        <w:ind w:left="360"/>
        <w:jc w:val="both"/>
        <w:rPr>
          <w:sz w:val="22"/>
        </w:rPr>
      </w:pPr>
      <w:r w:rsidRPr="00F03C5D">
        <w:rPr>
          <w:sz w:val="22"/>
        </w:rPr>
        <w:t xml:space="preserve">Upon receiving written approval from the Project Manager, the Architect-Engineer shall modify the contract drawings and specifications to incorporate all changes necessary to reduce the base bid cost estimate below the funding limitation.  </w:t>
      </w:r>
    </w:p>
    <w:p w14:paraId="2E88BFB6" w14:textId="77777777" w:rsidR="0044772F" w:rsidRPr="00F03C5D" w:rsidRDefault="0044772F" w:rsidP="000A0DD0">
      <w:pPr>
        <w:ind w:left="360" w:hanging="360"/>
        <w:jc w:val="both"/>
        <w:rPr>
          <w:sz w:val="22"/>
        </w:rPr>
      </w:pPr>
    </w:p>
    <w:p w14:paraId="4F2F81AF" w14:textId="77777777" w:rsidR="0044772F" w:rsidRPr="00F03C5D" w:rsidRDefault="0044772F" w:rsidP="000A0DD0">
      <w:pPr>
        <w:ind w:left="360"/>
        <w:jc w:val="both"/>
        <w:rPr>
          <w:sz w:val="22"/>
        </w:rPr>
      </w:pPr>
      <w:r w:rsidRPr="00F03C5D">
        <w:rPr>
          <w:sz w:val="22"/>
          <w:lang w:val="en-GB"/>
        </w:rPr>
        <w:t>If revised criteria prevent the Architect-Engineer from meeting the cost limitations, the Architect-Engineer shall notify the Project Manager immediately.  The Architect-Engineer shall list the problem criteria and explain the negative impact on the design cost.</w:t>
      </w:r>
    </w:p>
    <w:p w14:paraId="6C8EE4DF" w14:textId="77777777" w:rsidR="0044772F" w:rsidRPr="00F03C5D" w:rsidRDefault="0044772F" w:rsidP="000A0DD0">
      <w:pPr>
        <w:pStyle w:val="BodyText"/>
        <w:ind w:left="360" w:hanging="360"/>
        <w:jc w:val="both"/>
      </w:pPr>
    </w:p>
    <w:p w14:paraId="40EF3819" w14:textId="77777777" w:rsidR="0044772F" w:rsidRDefault="000B6891" w:rsidP="000A0DD0">
      <w:pPr>
        <w:ind w:left="360" w:hanging="360"/>
        <w:jc w:val="both"/>
        <w:rPr>
          <w:sz w:val="22"/>
        </w:rPr>
      </w:pPr>
      <w:r>
        <w:rPr>
          <w:b/>
          <w:sz w:val="22"/>
        </w:rPr>
        <w:t>106.1</w:t>
      </w:r>
      <w:r w:rsidR="00E87C47">
        <w:rPr>
          <w:b/>
          <w:sz w:val="22"/>
        </w:rPr>
        <w:t>1</w:t>
      </w:r>
      <w:r>
        <w:rPr>
          <w:b/>
          <w:sz w:val="22"/>
        </w:rPr>
        <w:t xml:space="preserve"> </w:t>
      </w:r>
      <w:r w:rsidR="0044772F" w:rsidRPr="00F03C5D">
        <w:rPr>
          <w:b/>
          <w:sz w:val="22"/>
        </w:rPr>
        <w:t>Value Engineering:</w:t>
      </w:r>
      <w:r w:rsidR="0044772F" w:rsidRPr="00F03C5D">
        <w:rPr>
          <w:sz w:val="22"/>
        </w:rPr>
        <w:t xml:space="preserve"> The Project Manager may require the Architect-Engineer to provide Value Engineering studies, either during or after the completion of design, or following bidding. Value Engineering may be undertaken for the following reasons: </w:t>
      </w:r>
    </w:p>
    <w:p w14:paraId="3447DEF0" w14:textId="77777777" w:rsidR="004A4F17" w:rsidRDefault="004A4F17" w:rsidP="000A0DD0">
      <w:pPr>
        <w:ind w:left="360" w:hanging="360"/>
        <w:jc w:val="both"/>
        <w:rPr>
          <w:sz w:val="22"/>
        </w:rPr>
      </w:pPr>
    </w:p>
    <w:p w14:paraId="44407E72" w14:textId="77777777" w:rsidR="0044772F" w:rsidRPr="00F03C5D" w:rsidRDefault="00B37816" w:rsidP="000A0DD0">
      <w:pPr>
        <w:numPr>
          <w:ilvl w:val="0"/>
          <w:numId w:val="13"/>
        </w:numPr>
        <w:tabs>
          <w:tab w:val="left" w:pos="270"/>
        </w:tabs>
        <w:jc w:val="both"/>
        <w:rPr>
          <w:sz w:val="22"/>
        </w:rPr>
      </w:pPr>
      <w:r w:rsidRPr="00F03C5D">
        <w:rPr>
          <w:sz w:val="22"/>
        </w:rPr>
        <w:t>Project</w:t>
      </w:r>
      <w:r w:rsidR="0044772F" w:rsidRPr="00F03C5D">
        <w:rPr>
          <w:sz w:val="22"/>
        </w:rPr>
        <w:t xml:space="preserve"> design estimate provided by the Architect-Engineer exceeds the construction funds available.</w:t>
      </w:r>
    </w:p>
    <w:p w14:paraId="793FAC69" w14:textId="77777777" w:rsidR="0044772F" w:rsidRPr="00F03C5D" w:rsidRDefault="0044772F" w:rsidP="000A0DD0">
      <w:pPr>
        <w:numPr>
          <w:ilvl w:val="0"/>
          <w:numId w:val="13"/>
        </w:numPr>
        <w:jc w:val="both"/>
        <w:rPr>
          <w:sz w:val="22"/>
        </w:rPr>
      </w:pPr>
      <w:r w:rsidRPr="00F03C5D">
        <w:rPr>
          <w:sz w:val="22"/>
        </w:rPr>
        <w:lastRenderedPageBreak/>
        <w:t xml:space="preserve">The lowest bid proposal received during bidding exceeds the available construction funds. </w:t>
      </w:r>
    </w:p>
    <w:p w14:paraId="1AC61F8C" w14:textId="77777777" w:rsidR="0044772F" w:rsidRPr="00F03C5D" w:rsidRDefault="0044772F" w:rsidP="000A0DD0">
      <w:pPr>
        <w:ind w:left="360" w:hanging="360"/>
        <w:jc w:val="both"/>
        <w:rPr>
          <w:sz w:val="22"/>
        </w:rPr>
      </w:pPr>
    </w:p>
    <w:p w14:paraId="3DB50AD0" w14:textId="77777777" w:rsidR="0044772F" w:rsidRPr="00F03C5D" w:rsidRDefault="0044772F" w:rsidP="000A0DD0">
      <w:pPr>
        <w:ind w:left="360"/>
        <w:jc w:val="both"/>
        <w:rPr>
          <w:sz w:val="22"/>
        </w:rPr>
      </w:pPr>
      <w:r w:rsidRPr="00F03C5D">
        <w:rPr>
          <w:sz w:val="22"/>
        </w:rPr>
        <w:t>The Architect-Engineer shall identify potential design elements, along with potential cost savings, to be considered for Value Engineering. The Project Manager will then direct the Architect-Engineer to perform technical and economic analyses for selected elements. The Architect-Engineer shall present the completed analyses for consideration by the Project Manager. The Project Manager will direct the Architect-Engineer to incorporate any selected elements into the project design.</w:t>
      </w:r>
    </w:p>
    <w:p w14:paraId="656C95F1" w14:textId="77777777" w:rsidR="0044772F" w:rsidRPr="00F03C5D" w:rsidRDefault="0044772F" w:rsidP="000A0DD0">
      <w:pPr>
        <w:ind w:left="360" w:hanging="360"/>
        <w:jc w:val="both"/>
        <w:rPr>
          <w:sz w:val="22"/>
        </w:rPr>
      </w:pPr>
    </w:p>
    <w:p w14:paraId="11C12A3A" w14:textId="52E79408" w:rsidR="0044772F" w:rsidRPr="00F03C5D" w:rsidRDefault="000B6891" w:rsidP="000A0DD0">
      <w:pPr>
        <w:pStyle w:val="BodyText2"/>
        <w:ind w:left="360" w:hanging="360"/>
        <w:jc w:val="both"/>
        <w:rPr>
          <w:color w:val="auto"/>
        </w:rPr>
      </w:pPr>
      <w:r>
        <w:rPr>
          <w:b/>
        </w:rPr>
        <w:t>106.1</w:t>
      </w:r>
      <w:r w:rsidR="00E87C47">
        <w:rPr>
          <w:b/>
        </w:rPr>
        <w:t>2</w:t>
      </w:r>
      <w:r w:rsidR="00B37816">
        <w:rPr>
          <w:b/>
        </w:rPr>
        <w:t xml:space="preserve"> </w:t>
      </w:r>
      <w:r w:rsidR="0044772F" w:rsidRPr="00F03C5D">
        <w:rPr>
          <w:b/>
        </w:rPr>
        <w:t xml:space="preserve">Compliance with Applicable Codes, </w:t>
      </w:r>
      <w:r w:rsidR="00BA6F95" w:rsidRPr="00F03C5D">
        <w:rPr>
          <w:b/>
        </w:rPr>
        <w:t>Laws,</w:t>
      </w:r>
      <w:r w:rsidR="0044772F" w:rsidRPr="00F03C5D">
        <w:rPr>
          <w:b/>
        </w:rPr>
        <w:t xml:space="preserve"> and Regulations:</w:t>
      </w:r>
      <w:r w:rsidR="003758DF">
        <w:rPr>
          <w:color w:val="auto"/>
        </w:rPr>
        <w:t xml:space="preserve"> </w:t>
      </w:r>
      <w:r w:rsidR="0044772F" w:rsidRPr="00F03C5D">
        <w:rPr>
          <w:color w:val="auto"/>
        </w:rPr>
        <w:t xml:space="preserve">The </w:t>
      </w:r>
      <w:r w:rsidR="00FD38FA">
        <w:rPr>
          <w:color w:val="auto"/>
        </w:rPr>
        <w:t>Architect-Engineer</w:t>
      </w:r>
      <w:r w:rsidR="0044772F" w:rsidRPr="00F03C5D">
        <w:rPr>
          <w:color w:val="auto"/>
        </w:rPr>
        <w:t xml:space="preserve"> is responsible for complying with all applicable codes, laws and regulations and shall submit the appropriate</w:t>
      </w:r>
      <w:r w:rsidR="003E5581">
        <w:rPr>
          <w:color w:val="auto"/>
        </w:rPr>
        <w:t xml:space="preserve"> documents</w:t>
      </w:r>
      <w:r w:rsidR="0044772F" w:rsidRPr="00F03C5D">
        <w:rPr>
          <w:color w:val="auto"/>
        </w:rPr>
        <w:t xml:space="preserve"> to applicable authorities having jurisdiction over the project.</w:t>
      </w:r>
    </w:p>
    <w:p w14:paraId="3A7DA739" w14:textId="77777777" w:rsidR="00ED54F8" w:rsidRDefault="00ED54F8" w:rsidP="000A0DD0">
      <w:pPr>
        <w:ind w:left="360" w:hanging="360"/>
        <w:jc w:val="both"/>
        <w:rPr>
          <w:b/>
          <w:sz w:val="22"/>
        </w:rPr>
      </w:pPr>
    </w:p>
    <w:p w14:paraId="0184F95F" w14:textId="77777777" w:rsidR="0044772F" w:rsidRPr="00F03C5D" w:rsidRDefault="000B6891" w:rsidP="000A0DD0">
      <w:pPr>
        <w:ind w:left="360" w:hanging="360"/>
        <w:jc w:val="both"/>
        <w:rPr>
          <w:sz w:val="22"/>
        </w:rPr>
      </w:pPr>
      <w:r>
        <w:rPr>
          <w:b/>
          <w:sz w:val="22"/>
        </w:rPr>
        <w:t>106.1</w:t>
      </w:r>
      <w:r w:rsidR="00E87C47">
        <w:rPr>
          <w:b/>
          <w:sz w:val="22"/>
        </w:rPr>
        <w:t>3</w:t>
      </w:r>
      <w:r w:rsidR="00E87C47">
        <w:rPr>
          <w:b/>
          <w:sz w:val="22"/>
        </w:rPr>
        <w:tab/>
      </w:r>
      <w:r w:rsidR="0044772F" w:rsidRPr="00F03C5D">
        <w:rPr>
          <w:b/>
          <w:sz w:val="22"/>
        </w:rPr>
        <w:t>Design Phases:</w:t>
      </w:r>
      <w:r w:rsidR="0044772F" w:rsidRPr="00F03C5D">
        <w:rPr>
          <w:sz w:val="22"/>
        </w:rPr>
        <w:t xml:space="preserve"> Upon receipt of written approval of a specific phase of the project the Architect-Engineer shall proceed with the subsequent phase, unless directed specifically in writing to suspend progress of the work at this level of development.</w:t>
      </w:r>
    </w:p>
    <w:p w14:paraId="655F65CF" w14:textId="77777777" w:rsidR="0044772F" w:rsidRPr="00F03C5D" w:rsidRDefault="0044772F" w:rsidP="000A0DD0">
      <w:pPr>
        <w:ind w:left="360" w:hanging="360"/>
        <w:jc w:val="both"/>
        <w:rPr>
          <w:sz w:val="22"/>
        </w:rPr>
      </w:pPr>
    </w:p>
    <w:p w14:paraId="17D1AE2A" w14:textId="77777777" w:rsidR="0044772F" w:rsidRPr="00F03C5D" w:rsidRDefault="0044772F" w:rsidP="000A0DD0">
      <w:pPr>
        <w:tabs>
          <w:tab w:val="left" w:pos="360"/>
        </w:tabs>
        <w:ind w:left="360" w:firstLine="360"/>
        <w:jc w:val="both"/>
        <w:rPr>
          <w:sz w:val="22"/>
        </w:rPr>
      </w:pPr>
      <w:r w:rsidRPr="00F03C5D">
        <w:rPr>
          <w:sz w:val="22"/>
        </w:rPr>
        <w:t>Phase A (</w:t>
      </w:r>
      <w:r w:rsidR="00E1403E">
        <w:rPr>
          <w:sz w:val="22"/>
        </w:rPr>
        <w:t>20</w:t>
      </w:r>
      <w:r w:rsidRPr="00F03C5D">
        <w:rPr>
          <w:sz w:val="22"/>
        </w:rPr>
        <w:t xml:space="preserve">%) – Schematic Design </w:t>
      </w:r>
    </w:p>
    <w:p w14:paraId="621338C7" w14:textId="77777777" w:rsidR="0044772F" w:rsidRPr="00F03C5D" w:rsidRDefault="0044772F" w:rsidP="000A0DD0">
      <w:pPr>
        <w:tabs>
          <w:tab w:val="left" w:pos="360"/>
        </w:tabs>
        <w:ind w:left="360" w:firstLine="360"/>
        <w:jc w:val="both"/>
        <w:rPr>
          <w:sz w:val="22"/>
        </w:rPr>
      </w:pPr>
    </w:p>
    <w:p w14:paraId="16761AFD" w14:textId="77777777" w:rsidR="0044772F" w:rsidRPr="00F03C5D" w:rsidRDefault="0044772F" w:rsidP="000A0DD0">
      <w:pPr>
        <w:tabs>
          <w:tab w:val="left" w:pos="360"/>
        </w:tabs>
        <w:ind w:left="360" w:firstLine="360"/>
        <w:jc w:val="both"/>
        <w:rPr>
          <w:sz w:val="22"/>
          <w:highlight w:val="yellow"/>
        </w:rPr>
      </w:pPr>
      <w:r w:rsidRPr="00F03C5D">
        <w:rPr>
          <w:sz w:val="22"/>
        </w:rPr>
        <w:t>Phase B (</w:t>
      </w:r>
      <w:r w:rsidR="00E1403E">
        <w:rPr>
          <w:sz w:val="22"/>
        </w:rPr>
        <w:t>40</w:t>
      </w:r>
      <w:r w:rsidRPr="00F03C5D">
        <w:rPr>
          <w:sz w:val="22"/>
        </w:rPr>
        <w:t>%) – Design Development</w:t>
      </w:r>
    </w:p>
    <w:p w14:paraId="4BF61694" w14:textId="77777777" w:rsidR="0044772F" w:rsidRPr="00F03C5D" w:rsidRDefault="0044772F" w:rsidP="000A0DD0">
      <w:pPr>
        <w:tabs>
          <w:tab w:val="left" w:pos="360"/>
        </w:tabs>
        <w:ind w:left="360" w:firstLine="360"/>
        <w:jc w:val="both"/>
        <w:rPr>
          <w:sz w:val="22"/>
        </w:rPr>
      </w:pPr>
    </w:p>
    <w:p w14:paraId="3ACD0E39" w14:textId="77777777" w:rsidR="0044772F" w:rsidRPr="00F03C5D" w:rsidRDefault="0044772F" w:rsidP="000A0DD0">
      <w:pPr>
        <w:tabs>
          <w:tab w:val="left" w:pos="360"/>
        </w:tabs>
        <w:ind w:left="360" w:firstLine="360"/>
        <w:jc w:val="both"/>
        <w:rPr>
          <w:sz w:val="22"/>
        </w:rPr>
      </w:pPr>
      <w:r w:rsidRPr="00F03C5D">
        <w:rPr>
          <w:sz w:val="22"/>
        </w:rPr>
        <w:t>Phase C (</w:t>
      </w:r>
      <w:r w:rsidR="00E1403E">
        <w:rPr>
          <w:sz w:val="22"/>
        </w:rPr>
        <w:t>60</w:t>
      </w:r>
      <w:r w:rsidRPr="00F03C5D">
        <w:rPr>
          <w:sz w:val="22"/>
        </w:rPr>
        <w:t>%) – Contract Documents Inter</w:t>
      </w:r>
      <w:r w:rsidR="00FE3BBF">
        <w:rPr>
          <w:sz w:val="22"/>
        </w:rPr>
        <w:t>mediate Review</w:t>
      </w:r>
    </w:p>
    <w:p w14:paraId="67A76E1B" w14:textId="77777777" w:rsidR="0044772F" w:rsidRPr="00F03C5D" w:rsidRDefault="0044772F" w:rsidP="000A0DD0">
      <w:pPr>
        <w:tabs>
          <w:tab w:val="left" w:pos="360"/>
        </w:tabs>
        <w:ind w:left="360" w:firstLine="360"/>
        <w:jc w:val="both"/>
        <w:rPr>
          <w:sz w:val="22"/>
        </w:rPr>
      </w:pPr>
    </w:p>
    <w:p w14:paraId="1D37F400" w14:textId="77777777" w:rsidR="0044772F" w:rsidRPr="00F03C5D" w:rsidRDefault="0044772F" w:rsidP="000A0DD0">
      <w:pPr>
        <w:tabs>
          <w:tab w:val="left" w:pos="360"/>
        </w:tabs>
        <w:ind w:left="360" w:firstLine="360"/>
        <w:jc w:val="both"/>
        <w:rPr>
          <w:sz w:val="22"/>
        </w:rPr>
      </w:pPr>
      <w:r w:rsidRPr="00F03C5D">
        <w:rPr>
          <w:sz w:val="22"/>
        </w:rPr>
        <w:t xml:space="preserve">Phase C (75%) – Contract Documents </w:t>
      </w:r>
      <w:r w:rsidR="00731FBE">
        <w:rPr>
          <w:sz w:val="22"/>
        </w:rPr>
        <w:t>C</w:t>
      </w:r>
      <w:r w:rsidRPr="00F03C5D">
        <w:rPr>
          <w:sz w:val="22"/>
        </w:rPr>
        <w:t xml:space="preserve">omplete and </w:t>
      </w:r>
      <w:r w:rsidR="00731FBE">
        <w:rPr>
          <w:sz w:val="22"/>
        </w:rPr>
        <w:t>R</w:t>
      </w:r>
      <w:r w:rsidRPr="00F03C5D">
        <w:rPr>
          <w:sz w:val="22"/>
        </w:rPr>
        <w:t xml:space="preserve">eady to </w:t>
      </w:r>
      <w:r w:rsidR="00731FBE">
        <w:rPr>
          <w:sz w:val="22"/>
        </w:rPr>
        <w:t>B</w:t>
      </w:r>
      <w:r w:rsidRPr="00F03C5D">
        <w:rPr>
          <w:sz w:val="22"/>
        </w:rPr>
        <w:t xml:space="preserve">id </w:t>
      </w:r>
    </w:p>
    <w:p w14:paraId="069876F3" w14:textId="77777777" w:rsidR="0044772F" w:rsidRPr="00F03C5D" w:rsidRDefault="0044772F" w:rsidP="000A0DD0">
      <w:pPr>
        <w:tabs>
          <w:tab w:val="left" w:pos="360"/>
        </w:tabs>
        <w:ind w:left="360" w:firstLine="360"/>
        <w:jc w:val="both"/>
        <w:rPr>
          <w:sz w:val="22"/>
        </w:rPr>
      </w:pPr>
    </w:p>
    <w:p w14:paraId="2217FEAD" w14:textId="77777777" w:rsidR="0044772F" w:rsidRDefault="0044772F" w:rsidP="000A0DD0">
      <w:pPr>
        <w:tabs>
          <w:tab w:val="left" w:pos="360"/>
        </w:tabs>
        <w:ind w:left="360" w:firstLine="360"/>
        <w:jc w:val="both"/>
        <w:rPr>
          <w:sz w:val="22"/>
        </w:rPr>
      </w:pPr>
      <w:r w:rsidRPr="00F03C5D">
        <w:rPr>
          <w:sz w:val="22"/>
        </w:rPr>
        <w:t>Phase D (100%) – Construction Administration</w:t>
      </w:r>
    </w:p>
    <w:p w14:paraId="0D9207BF" w14:textId="77777777" w:rsidR="00E1403E" w:rsidRDefault="00E1403E" w:rsidP="000A0DD0">
      <w:pPr>
        <w:tabs>
          <w:tab w:val="left" w:pos="360"/>
        </w:tabs>
        <w:ind w:left="360" w:firstLine="360"/>
        <w:jc w:val="both"/>
        <w:rPr>
          <w:sz w:val="22"/>
        </w:rPr>
      </w:pPr>
    </w:p>
    <w:p w14:paraId="363FD625" w14:textId="77777777" w:rsidR="00E1403E" w:rsidRDefault="00E1403E" w:rsidP="000A0DD0">
      <w:pPr>
        <w:tabs>
          <w:tab w:val="left" w:pos="360"/>
        </w:tabs>
        <w:ind w:left="360" w:firstLine="360"/>
        <w:jc w:val="both"/>
        <w:rPr>
          <w:sz w:val="22"/>
        </w:rPr>
      </w:pPr>
      <w:r>
        <w:rPr>
          <w:sz w:val="22"/>
        </w:rPr>
        <w:t>For project</w:t>
      </w:r>
      <w:r w:rsidR="00732141">
        <w:rPr>
          <w:sz w:val="22"/>
        </w:rPr>
        <w:t>s</w:t>
      </w:r>
      <w:r>
        <w:rPr>
          <w:sz w:val="22"/>
        </w:rPr>
        <w:t xml:space="preserve"> seeking LEED Certification:</w:t>
      </w:r>
    </w:p>
    <w:p w14:paraId="4A072647" w14:textId="77777777" w:rsidR="00E1403E" w:rsidRDefault="00E1403E" w:rsidP="000A0DD0">
      <w:pPr>
        <w:tabs>
          <w:tab w:val="left" w:pos="360"/>
        </w:tabs>
        <w:ind w:left="360" w:firstLine="360"/>
        <w:jc w:val="both"/>
        <w:rPr>
          <w:sz w:val="22"/>
        </w:rPr>
      </w:pPr>
    </w:p>
    <w:p w14:paraId="0F544DA9" w14:textId="77777777" w:rsidR="00E1403E" w:rsidRDefault="00E1403E" w:rsidP="000A0DD0">
      <w:pPr>
        <w:tabs>
          <w:tab w:val="left" w:pos="360"/>
        </w:tabs>
        <w:ind w:left="360" w:firstLine="360"/>
        <w:jc w:val="both"/>
        <w:rPr>
          <w:sz w:val="22"/>
        </w:rPr>
      </w:pPr>
      <w:r>
        <w:rPr>
          <w:sz w:val="22"/>
        </w:rPr>
        <w:t xml:space="preserve">Phase D (95%) – Construction </w:t>
      </w:r>
      <w:r w:rsidR="00641292">
        <w:rPr>
          <w:sz w:val="22"/>
        </w:rPr>
        <w:t>Adm</w:t>
      </w:r>
      <w:r>
        <w:rPr>
          <w:sz w:val="22"/>
        </w:rPr>
        <w:t>i</w:t>
      </w:r>
      <w:r w:rsidR="00641292">
        <w:rPr>
          <w:sz w:val="22"/>
        </w:rPr>
        <w:t>ni</w:t>
      </w:r>
      <w:r>
        <w:rPr>
          <w:sz w:val="22"/>
        </w:rPr>
        <w:t>stration</w:t>
      </w:r>
    </w:p>
    <w:p w14:paraId="3033F408" w14:textId="77777777" w:rsidR="00E1403E" w:rsidRDefault="00E1403E" w:rsidP="000A0DD0">
      <w:pPr>
        <w:tabs>
          <w:tab w:val="left" w:pos="360"/>
        </w:tabs>
        <w:ind w:left="360" w:firstLine="360"/>
        <w:jc w:val="both"/>
        <w:rPr>
          <w:sz w:val="22"/>
        </w:rPr>
      </w:pPr>
    </w:p>
    <w:p w14:paraId="5425B41E" w14:textId="77777777" w:rsidR="00E1403E" w:rsidRPr="00F03C5D" w:rsidRDefault="00E1403E" w:rsidP="000A0DD0">
      <w:pPr>
        <w:tabs>
          <w:tab w:val="left" w:pos="360"/>
        </w:tabs>
        <w:ind w:left="360" w:firstLine="360"/>
        <w:jc w:val="both"/>
        <w:rPr>
          <w:sz w:val="22"/>
        </w:rPr>
      </w:pPr>
      <w:r>
        <w:rPr>
          <w:sz w:val="22"/>
        </w:rPr>
        <w:t xml:space="preserve">Extended Phase D </w:t>
      </w:r>
      <w:r w:rsidR="00641292">
        <w:rPr>
          <w:sz w:val="22"/>
        </w:rPr>
        <w:t xml:space="preserve">Services </w:t>
      </w:r>
      <w:r>
        <w:rPr>
          <w:sz w:val="22"/>
        </w:rPr>
        <w:t>(5%)</w:t>
      </w:r>
    </w:p>
    <w:p w14:paraId="457BBB3D" w14:textId="77777777" w:rsidR="0044772F" w:rsidRPr="00F03C5D" w:rsidRDefault="0044772F" w:rsidP="000A0DD0">
      <w:pPr>
        <w:ind w:left="360" w:firstLine="360"/>
        <w:jc w:val="both"/>
        <w:rPr>
          <w:sz w:val="22"/>
        </w:rPr>
      </w:pPr>
    </w:p>
    <w:p w14:paraId="36CAF2EB" w14:textId="0B5A987A" w:rsidR="006E60D4" w:rsidRDefault="00F1479F" w:rsidP="000A0DD0">
      <w:pPr>
        <w:ind w:left="360"/>
        <w:jc w:val="both"/>
        <w:rPr>
          <w:sz w:val="22"/>
        </w:rPr>
      </w:pPr>
      <w:r>
        <w:rPr>
          <w:sz w:val="22"/>
        </w:rPr>
        <w:t>Division Facilities Management and Safety</w:t>
      </w:r>
      <w:r w:rsidR="0044772F" w:rsidRPr="00F03C5D">
        <w:rPr>
          <w:sz w:val="22"/>
        </w:rPr>
        <w:t xml:space="preserve"> will provide the </w:t>
      </w:r>
      <w:r w:rsidR="00BA6F95" w:rsidRPr="00F03C5D">
        <w:rPr>
          <w:sz w:val="22"/>
        </w:rPr>
        <w:t>front-end</w:t>
      </w:r>
      <w:r w:rsidR="003E5581">
        <w:rPr>
          <w:sz w:val="22"/>
        </w:rPr>
        <w:t xml:space="preserve"> documents (</w:t>
      </w:r>
      <w:r w:rsidR="00597D73">
        <w:rPr>
          <w:sz w:val="22"/>
        </w:rPr>
        <w:t>i.e., i</w:t>
      </w:r>
      <w:r w:rsidR="003E5581">
        <w:rPr>
          <w:sz w:val="22"/>
        </w:rPr>
        <w:t>nstructions to bidders</w:t>
      </w:r>
      <w:r w:rsidR="002352F5">
        <w:rPr>
          <w:sz w:val="22"/>
        </w:rPr>
        <w:t>,</w:t>
      </w:r>
      <w:r w:rsidR="003E5581">
        <w:rPr>
          <w:sz w:val="22"/>
        </w:rPr>
        <w:t xml:space="preserve"> General Conditions</w:t>
      </w:r>
      <w:r w:rsidR="002352F5">
        <w:rPr>
          <w:sz w:val="22"/>
        </w:rPr>
        <w:t xml:space="preserve"> and typical bidding documents)</w:t>
      </w:r>
      <w:r w:rsidR="0044772F" w:rsidRPr="00F03C5D">
        <w:rPr>
          <w:sz w:val="22"/>
        </w:rPr>
        <w:t xml:space="preserve"> to the Architect-Engineer upon </w:t>
      </w:r>
      <w:r w:rsidR="003E5581" w:rsidRPr="00F03C5D">
        <w:rPr>
          <w:sz w:val="22"/>
        </w:rPr>
        <w:t>request. The</w:t>
      </w:r>
      <w:r w:rsidR="0044772F" w:rsidRPr="00F03C5D">
        <w:rPr>
          <w:sz w:val="22"/>
        </w:rPr>
        <w:t xml:space="preserve"> documents provided by </w:t>
      </w:r>
      <w:r>
        <w:rPr>
          <w:sz w:val="22"/>
        </w:rPr>
        <w:t xml:space="preserve">Division Facilities Management and Safety </w:t>
      </w:r>
      <w:r w:rsidR="0044772F" w:rsidRPr="00F03C5D">
        <w:rPr>
          <w:sz w:val="22"/>
        </w:rPr>
        <w:t xml:space="preserve"> are not to be inserted into the review set or Ready-to-Advertise set of documents by the Architect-Engineer.</w:t>
      </w:r>
    </w:p>
    <w:p w14:paraId="22D60075" w14:textId="77777777" w:rsidR="0044772F" w:rsidRPr="00F03C5D" w:rsidRDefault="006E60D4" w:rsidP="006E60D4">
      <w:pPr>
        <w:rPr>
          <w:sz w:val="22"/>
        </w:rPr>
      </w:pPr>
      <w:r>
        <w:br w:type="page"/>
      </w:r>
      <w:r w:rsidR="00E87C47">
        <w:rPr>
          <w:b/>
          <w:sz w:val="22"/>
        </w:rPr>
        <w:lastRenderedPageBreak/>
        <w:t>106.14</w:t>
      </w:r>
      <w:r w:rsidR="000B6891">
        <w:rPr>
          <w:b/>
          <w:sz w:val="22"/>
        </w:rPr>
        <w:t xml:space="preserve"> </w:t>
      </w:r>
      <w:r w:rsidR="0044772F" w:rsidRPr="00F03C5D">
        <w:rPr>
          <w:b/>
          <w:sz w:val="22"/>
        </w:rPr>
        <w:t xml:space="preserve">Interior Design: </w:t>
      </w:r>
      <w:r w:rsidR="0044772F" w:rsidRPr="00F03C5D">
        <w:rPr>
          <w:sz w:val="22"/>
        </w:rPr>
        <w:t>For the purposes of this manual interior design will be considered either Architectural Interior Design or Comprehensive Interior Design.</w:t>
      </w:r>
    </w:p>
    <w:p w14:paraId="06DC4F3D" w14:textId="77777777" w:rsidR="0044772F" w:rsidRPr="00F03C5D" w:rsidRDefault="0044772F" w:rsidP="000A0DD0">
      <w:pPr>
        <w:ind w:left="360" w:hanging="360"/>
        <w:jc w:val="both"/>
        <w:rPr>
          <w:sz w:val="22"/>
        </w:rPr>
      </w:pPr>
    </w:p>
    <w:p w14:paraId="4CD89C9E" w14:textId="77777777" w:rsidR="0044772F" w:rsidRPr="00F03C5D" w:rsidRDefault="0044772F" w:rsidP="000A0DD0">
      <w:pPr>
        <w:numPr>
          <w:ilvl w:val="0"/>
          <w:numId w:val="16"/>
        </w:numPr>
        <w:ind w:left="1080"/>
        <w:jc w:val="both"/>
        <w:rPr>
          <w:sz w:val="22"/>
        </w:rPr>
      </w:pPr>
      <w:r w:rsidRPr="00F03C5D">
        <w:rPr>
          <w:b/>
          <w:sz w:val="22"/>
        </w:rPr>
        <w:t>Architectural Interior Design</w:t>
      </w:r>
      <w:r w:rsidRPr="00F03C5D">
        <w:rPr>
          <w:sz w:val="22"/>
        </w:rPr>
        <w:t xml:space="preserve"> is the design of aesthetic aspects (e.g. materials, colors, fixtures etc.) related to fixed architectural interior elements, such as walls, ceilings, floors and built-in fixtures.  Such design is typically considered to be within the normal services provided by an Architect-Engineer for a building design.  </w:t>
      </w:r>
    </w:p>
    <w:p w14:paraId="2CFD41DA" w14:textId="77777777" w:rsidR="0044772F" w:rsidRPr="00F03C5D" w:rsidRDefault="0044772F" w:rsidP="000A0DD0">
      <w:pPr>
        <w:tabs>
          <w:tab w:val="num" w:pos="720"/>
        </w:tabs>
        <w:ind w:left="1080" w:hanging="360"/>
        <w:jc w:val="both"/>
        <w:rPr>
          <w:sz w:val="22"/>
        </w:rPr>
      </w:pPr>
    </w:p>
    <w:p w14:paraId="0AD4039E" w14:textId="77777777" w:rsidR="0044772F" w:rsidRPr="00F03C5D" w:rsidRDefault="0044772F" w:rsidP="000A0DD0">
      <w:pPr>
        <w:numPr>
          <w:ilvl w:val="0"/>
          <w:numId w:val="16"/>
        </w:numPr>
        <w:ind w:left="1080"/>
        <w:jc w:val="both"/>
        <w:rPr>
          <w:sz w:val="22"/>
        </w:rPr>
      </w:pPr>
      <w:r w:rsidRPr="00F03C5D">
        <w:rPr>
          <w:b/>
          <w:sz w:val="22"/>
        </w:rPr>
        <w:t>Comprehensive Interior Design</w:t>
      </w:r>
      <w:r w:rsidRPr="00F03C5D">
        <w:rPr>
          <w:sz w:val="22"/>
        </w:rPr>
        <w:t xml:space="preserve"> is the design of moveable interior furnishings and accessories and/or modular furniture layouts within a building.</w:t>
      </w:r>
    </w:p>
    <w:p w14:paraId="029B7974" w14:textId="77777777" w:rsidR="0044772F" w:rsidRPr="00F03C5D" w:rsidRDefault="0044772F" w:rsidP="000A0DD0">
      <w:pPr>
        <w:ind w:left="1080" w:hanging="360"/>
        <w:jc w:val="both"/>
        <w:rPr>
          <w:sz w:val="22"/>
        </w:rPr>
      </w:pPr>
    </w:p>
    <w:p w14:paraId="218EFB55" w14:textId="77777777" w:rsidR="005200E6" w:rsidRDefault="0044772F" w:rsidP="000A0DD0">
      <w:pPr>
        <w:ind w:left="360"/>
        <w:jc w:val="both"/>
        <w:rPr>
          <w:sz w:val="22"/>
        </w:rPr>
      </w:pPr>
      <w:r w:rsidRPr="00F03C5D">
        <w:rPr>
          <w:sz w:val="22"/>
        </w:rPr>
        <w:t>Architectural Interior Design is required for all building interiors regardless of size or scope. The Architect-Engineer should review the Owner’s Project Requirements to determine if Comprehensive Interior Design is required for the project.</w:t>
      </w:r>
      <w:r w:rsidR="00DF2F84" w:rsidRPr="00F03C5D" w:rsidDel="00DF2F84">
        <w:rPr>
          <w:sz w:val="22"/>
        </w:rPr>
        <w:t xml:space="preserve"> </w:t>
      </w:r>
      <w:r w:rsidRPr="00F03C5D">
        <w:rPr>
          <w:sz w:val="22"/>
        </w:rPr>
        <w:t>When Comprehensive Interior Design is required</w:t>
      </w:r>
      <w:r w:rsidR="00597D73">
        <w:rPr>
          <w:sz w:val="22"/>
        </w:rPr>
        <w:t>,</w:t>
      </w:r>
      <w:r w:rsidRPr="00F03C5D">
        <w:rPr>
          <w:sz w:val="22"/>
        </w:rPr>
        <w:t xml:space="preserve"> a</w:t>
      </w:r>
      <w:r w:rsidR="00557D61">
        <w:rPr>
          <w:sz w:val="22"/>
        </w:rPr>
        <w:t xml:space="preserve"> Certified</w:t>
      </w:r>
      <w:r w:rsidRPr="00F03C5D">
        <w:rPr>
          <w:sz w:val="22"/>
        </w:rPr>
        <w:t xml:space="preserve"> Interior Designer shall be utilized.</w:t>
      </w:r>
    </w:p>
    <w:p w14:paraId="054CBB76" w14:textId="77777777" w:rsidR="0044772F" w:rsidRPr="00F03C5D" w:rsidRDefault="0044772F" w:rsidP="00E87C47">
      <w:pPr>
        <w:jc w:val="both"/>
        <w:rPr>
          <w:sz w:val="22"/>
        </w:rPr>
      </w:pPr>
    </w:p>
    <w:p w14:paraId="6BC03E3C" w14:textId="29B44794" w:rsidR="0044772F" w:rsidRPr="00F03C5D" w:rsidRDefault="0044772F" w:rsidP="000A0DD0">
      <w:pPr>
        <w:ind w:left="360"/>
        <w:jc w:val="both"/>
        <w:rPr>
          <w:sz w:val="22"/>
        </w:rPr>
      </w:pPr>
      <w:r w:rsidRPr="00F03C5D">
        <w:rPr>
          <w:sz w:val="22"/>
        </w:rPr>
        <w:t xml:space="preserve">Selection of building related finishes and furnishings are to be a team effort using both the Architect-Engineer’s and Interior Designer’s expertise to insure the Architectural Interior Design and Comprehensive Interior Design are fully compatible in theme, function and aesthetics. </w:t>
      </w:r>
      <w:r w:rsidR="00F1479F">
        <w:rPr>
          <w:sz w:val="22"/>
        </w:rPr>
        <w:t>Division Facilities Management and Safety</w:t>
      </w:r>
      <w:r w:rsidRPr="00F03C5D">
        <w:rPr>
          <w:sz w:val="22"/>
        </w:rPr>
        <w:t xml:space="preserve"> and the Using Agency will have input into the interior design.</w:t>
      </w:r>
    </w:p>
    <w:p w14:paraId="49206F9E" w14:textId="77777777" w:rsidR="0044772F" w:rsidRPr="00F03C5D" w:rsidRDefault="0044772F" w:rsidP="000A0DD0">
      <w:pPr>
        <w:ind w:left="360" w:hanging="360"/>
        <w:jc w:val="both"/>
        <w:rPr>
          <w:sz w:val="22"/>
        </w:rPr>
      </w:pPr>
    </w:p>
    <w:p w14:paraId="7C66E8EC" w14:textId="77777777" w:rsidR="0044772F" w:rsidRPr="00F03C5D" w:rsidRDefault="0044772F" w:rsidP="000A0DD0">
      <w:pPr>
        <w:ind w:left="360"/>
        <w:jc w:val="both"/>
        <w:rPr>
          <w:sz w:val="22"/>
        </w:rPr>
      </w:pPr>
      <w:r w:rsidRPr="00F03C5D">
        <w:rPr>
          <w:sz w:val="22"/>
        </w:rPr>
        <w:t xml:space="preserve">An Architectural Interior Design narrative addressing the overall basic color scheme concepts and the conscious design considerations for selection of colors, materials, and finishes as it relates to the building’s design, and health, safety and welfare of the occupants is to be submitted at Phase B (50%) Design Development. </w:t>
      </w:r>
    </w:p>
    <w:p w14:paraId="13028E7D" w14:textId="77777777" w:rsidR="0044772F" w:rsidRPr="00F03C5D" w:rsidRDefault="0044772F" w:rsidP="000A0DD0">
      <w:pPr>
        <w:ind w:left="360" w:hanging="360"/>
        <w:jc w:val="both"/>
        <w:rPr>
          <w:sz w:val="22"/>
        </w:rPr>
      </w:pPr>
    </w:p>
    <w:p w14:paraId="6421027C" w14:textId="77777777" w:rsidR="000658B1" w:rsidRDefault="0044772F" w:rsidP="000A0DD0">
      <w:pPr>
        <w:ind w:left="360"/>
        <w:jc w:val="both"/>
        <w:rPr>
          <w:sz w:val="22"/>
        </w:rPr>
      </w:pPr>
      <w:r w:rsidRPr="00F03C5D">
        <w:rPr>
          <w:sz w:val="22"/>
        </w:rPr>
        <w:t xml:space="preserve">Architectural Interior Design color boards and </w:t>
      </w:r>
      <w:r w:rsidR="004C03C3" w:rsidRPr="00F03C5D">
        <w:rPr>
          <w:sz w:val="22"/>
        </w:rPr>
        <w:t>Comprehensive</w:t>
      </w:r>
      <w:r w:rsidRPr="00F03C5D">
        <w:rPr>
          <w:sz w:val="22"/>
        </w:rPr>
        <w:t xml:space="preserve"> Interior Design narrative describing furniture being considered for the project are to be submitted at </w:t>
      </w:r>
      <w:r w:rsidR="005D17F9">
        <w:rPr>
          <w:sz w:val="22"/>
        </w:rPr>
        <w:t>approximately 60% of the Phase C Contract Documents, or at the</w:t>
      </w:r>
      <w:r w:rsidR="00FE3BBF">
        <w:rPr>
          <w:sz w:val="22"/>
        </w:rPr>
        <w:t xml:space="preserve"> </w:t>
      </w:r>
      <w:r w:rsidRPr="00F03C5D">
        <w:rPr>
          <w:sz w:val="22"/>
        </w:rPr>
        <w:t>Phase C (</w:t>
      </w:r>
      <w:r w:rsidR="00FE3BBF">
        <w:rPr>
          <w:sz w:val="22"/>
        </w:rPr>
        <w:t>60</w:t>
      </w:r>
      <w:r w:rsidRPr="00F03C5D">
        <w:rPr>
          <w:sz w:val="22"/>
        </w:rPr>
        <w:t xml:space="preserve">%) </w:t>
      </w:r>
      <w:r w:rsidR="00FE3BBF" w:rsidRPr="00F03C5D">
        <w:rPr>
          <w:sz w:val="22"/>
        </w:rPr>
        <w:t>Interm</w:t>
      </w:r>
      <w:r w:rsidR="00FE3BBF">
        <w:rPr>
          <w:sz w:val="22"/>
        </w:rPr>
        <w:t>ediate review</w:t>
      </w:r>
      <w:r w:rsidR="005D17F9">
        <w:rPr>
          <w:sz w:val="22"/>
        </w:rPr>
        <w:t>.</w:t>
      </w:r>
    </w:p>
    <w:p w14:paraId="61694E46" w14:textId="77777777" w:rsidR="0053226B" w:rsidRDefault="0053226B" w:rsidP="000A0DD0">
      <w:pPr>
        <w:ind w:left="360" w:hanging="360"/>
        <w:jc w:val="both"/>
        <w:rPr>
          <w:b/>
          <w:sz w:val="22"/>
        </w:rPr>
      </w:pPr>
    </w:p>
    <w:p w14:paraId="1FECBD9B" w14:textId="77777777" w:rsidR="0044772F" w:rsidRDefault="0044772F" w:rsidP="000A0DD0">
      <w:pPr>
        <w:pStyle w:val="BodyText"/>
        <w:ind w:left="360" w:hanging="360"/>
        <w:jc w:val="both"/>
      </w:pPr>
    </w:p>
    <w:sectPr w:rsidR="0044772F" w:rsidSect="004C03C3">
      <w:footerReference w:type="even"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037D" w14:textId="77777777" w:rsidR="00AA75C6" w:rsidRDefault="00AA75C6">
      <w:r>
        <w:separator/>
      </w:r>
    </w:p>
  </w:endnote>
  <w:endnote w:type="continuationSeparator" w:id="0">
    <w:p w14:paraId="1CABF04E" w14:textId="77777777" w:rsidR="00AA75C6" w:rsidRDefault="00AA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0702" w14:textId="57E6B59D" w:rsidR="00B82509" w:rsidRDefault="00B8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79F">
      <w:rPr>
        <w:rStyle w:val="PageNumber"/>
        <w:noProof/>
      </w:rPr>
      <w:t>1</w:t>
    </w:r>
    <w:r>
      <w:rPr>
        <w:rStyle w:val="PageNumber"/>
      </w:rPr>
      <w:fldChar w:fldCharType="end"/>
    </w:r>
  </w:p>
  <w:p w14:paraId="32E0A67A" w14:textId="77777777" w:rsidR="00B82509" w:rsidRDefault="00B82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CE7" w14:textId="77777777" w:rsidR="00B82509" w:rsidRDefault="00B82509" w:rsidP="005967DF">
    <w:pPr>
      <w:pStyle w:val="Footer"/>
      <w:framePr w:w="1345" w:wrap="around" w:vAnchor="text" w:hAnchor="page" w:x="9442" w:y="6"/>
      <w:jc w:val="right"/>
      <w:rPr>
        <w:rStyle w:val="PageNumber"/>
      </w:rPr>
    </w:pPr>
    <w:r>
      <w:rPr>
        <w:rStyle w:val="PageNumber"/>
      </w:rPr>
      <w:t>106-</w:t>
    </w:r>
    <w:r>
      <w:rPr>
        <w:rStyle w:val="PageNumber"/>
      </w:rPr>
      <w:fldChar w:fldCharType="begin"/>
    </w:r>
    <w:r>
      <w:rPr>
        <w:rStyle w:val="PageNumber"/>
      </w:rPr>
      <w:instrText xml:space="preserve">PAGE  </w:instrText>
    </w:r>
    <w:r>
      <w:rPr>
        <w:rStyle w:val="PageNumber"/>
      </w:rPr>
      <w:fldChar w:fldCharType="separate"/>
    </w:r>
    <w:r w:rsidR="002F15B9">
      <w:rPr>
        <w:rStyle w:val="PageNumber"/>
        <w:noProof/>
      </w:rPr>
      <w:t>1</w:t>
    </w:r>
    <w:r>
      <w:rPr>
        <w:rStyle w:val="PageNumber"/>
      </w:rPr>
      <w:fldChar w:fldCharType="end"/>
    </w:r>
  </w:p>
  <w:p w14:paraId="1DAE9D80" w14:textId="137EA67F" w:rsidR="00B82509" w:rsidRDefault="009D4F76">
    <w:pPr>
      <w:pStyle w:val="Footer"/>
      <w:ind w:right="360"/>
    </w:pPr>
    <w:r>
      <w:t xml:space="preserve">106 - </w:t>
    </w:r>
    <w:r w:rsidR="00B82509">
      <w:t xml:space="preserve">Responsibilities of Design Professionals </w:t>
    </w:r>
    <w:r w:rsidR="00473893">
      <w:t xml:space="preserve">– </w:t>
    </w:r>
    <w:r w:rsidR="00F1479F">
      <w:t>January 31, 2023</w:t>
    </w:r>
  </w:p>
  <w:p w14:paraId="4EDCFA56" w14:textId="77777777" w:rsidR="00B91B8F" w:rsidRDefault="00B9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A58B" w14:textId="77777777" w:rsidR="00AA75C6" w:rsidRDefault="00AA75C6">
      <w:r>
        <w:separator/>
      </w:r>
    </w:p>
  </w:footnote>
  <w:footnote w:type="continuationSeparator" w:id="0">
    <w:p w14:paraId="3805D227" w14:textId="77777777" w:rsidR="00AA75C6" w:rsidRDefault="00AA7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479EA"/>
    <w:multiLevelType w:val="hybridMultilevel"/>
    <w:tmpl w:val="3E3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C6B20"/>
    <w:multiLevelType w:val="hybridMultilevel"/>
    <w:tmpl w:val="E53A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3DFC"/>
    <w:multiLevelType w:val="hybridMultilevel"/>
    <w:tmpl w:val="AD0C1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70A27"/>
    <w:multiLevelType w:val="hybridMultilevel"/>
    <w:tmpl w:val="433C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A4798"/>
    <w:multiLevelType w:val="hybridMultilevel"/>
    <w:tmpl w:val="D152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4D5574"/>
    <w:multiLevelType w:val="hybridMultilevel"/>
    <w:tmpl w:val="193427B4"/>
    <w:lvl w:ilvl="0" w:tplc="EC6A31FE">
      <w:start w:val="1"/>
      <w:numFmt w:val="bullet"/>
      <w:lvlText w:val=""/>
      <w:lvlJc w:val="left"/>
      <w:pPr>
        <w:tabs>
          <w:tab w:val="num" w:pos="720"/>
        </w:tabs>
        <w:ind w:left="720" w:hanging="360"/>
      </w:pPr>
      <w:rPr>
        <w:rFonts w:ascii="Symbol" w:hAnsi="Symbol" w:hint="default"/>
      </w:rPr>
    </w:lvl>
    <w:lvl w:ilvl="1" w:tplc="414A10FA" w:tentative="1">
      <w:start w:val="1"/>
      <w:numFmt w:val="bullet"/>
      <w:lvlText w:val="o"/>
      <w:lvlJc w:val="left"/>
      <w:pPr>
        <w:tabs>
          <w:tab w:val="num" w:pos="1440"/>
        </w:tabs>
        <w:ind w:left="1440" w:hanging="360"/>
      </w:pPr>
      <w:rPr>
        <w:rFonts w:ascii="Courier New" w:hAnsi="Courier New" w:cs="Courier New" w:hint="default"/>
      </w:rPr>
    </w:lvl>
    <w:lvl w:ilvl="2" w:tplc="94CAB330" w:tentative="1">
      <w:start w:val="1"/>
      <w:numFmt w:val="bullet"/>
      <w:lvlText w:val=""/>
      <w:lvlJc w:val="left"/>
      <w:pPr>
        <w:tabs>
          <w:tab w:val="num" w:pos="2160"/>
        </w:tabs>
        <w:ind w:left="2160" w:hanging="360"/>
      </w:pPr>
      <w:rPr>
        <w:rFonts w:ascii="Wingdings" w:hAnsi="Wingdings" w:hint="default"/>
      </w:rPr>
    </w:lvl>
    <w:lvl w:ilvl="3" w:tplc="C27CAD62" w:tentative="1">
      <w:start w:val="1"/>
      <w:numFmt w:val="bullet"/>
      <w:lvlText w:val=""/>
      <w:lvlJc w:val="left"/>
      <w:pPr>
        <w:tabs>
          <w:tab w:val="num" w:pos="2880"/>
        </w:tabs>
        <w:ind w:left="2880" w:hanging="360"/>
      </w:pPr>
      <w:rPr>
        <w:rFonts w:ascii="Symbol" w:hAnsi="Symbol" w:hint="default"/>
      </w:rPr>
    </w:lvl>
    <w:lvl w:ilvl="4" w:tplc="1AA223E8" w:tentative="1">
      <w:start w:val="1"/>
      <w:numFmt w:val="bullet"/>
      <w:lvlText w:val="o"/>
      <w:lvlJc w:val="left"/>
      <w:pPr>
        <w:tabs>
          <w:tab w:val="num" w:pos="3600"/>
        </w:tabs>
        <w:ind w:left="3600" w:hanging="360"/>
      </w:pPr>
      <w:rPr>
        <w:rFonts w:ascii="Courier New" w:hAnsi="Courier New" w:cs="Courier New" w:hint="default"/>
      </w:rPr>
    </w:lvl>
    <w:lvl w:ilvl="5" w:tplc="086EE580" w:tentative="1">
      <w:start w:val="1"/>
      <w:numFmt w:val="bullet"/>
      <w:lvlText w:val=""/>
      <w:lvlJc w:val="left"/>
      <w:pPr>
        <w:tabs>
          <w:tab w:val="num" w:pos="4320"/>
        </w:tabs>
        <w:ind w:left="4320" w:hanging="360"/>
      </w:pPr>
      <w:rPr>
        <w:rFonts w:ascii="Wingdings" w:hAnsi="Wingdings" w:hint="default"/>
      </w:rPr>
    </w:lvl>
    <w:lvl w:ilvl="6" w:tplc="EBFA7242" w:tentative="1">
      <w:start w:val="1"/>
      <w:numFmt w:val="bullet"/>
      <w:lvlText w:val=""/>
      <w:lvlJc w:val="left"/>
      <w:pPr>
        <w:tabs>
          <w:tab w:val="num" w:pos="5040"/>
        </w:tabs>
        <w:ind w:left="5040" w:hanging="360"/>
      </w:pPr>
      <w:rPr>
        <w:rFonts w:ascii="Symbol" w:hAnsi="Symbol" w:hint="default"/>
      </w:rPr>
    </w:lvl>
    <w:lvl w:ilvl="7" w:tplc="BA4C7E9E" w:tentative="1">
      <w:start w:val="1"/>
      <w:numFmt w:val="bullet"/>
      <w:lvlText w:val="o"/>
      <w:lvlJc w:val="left"/>
      <w:pPr>
        <w:tabs>
          <w:tab w:val="num" w:pos="5760"/>
        </w:tabs>
        <w:ind w:left="5760" w:hanging="360"/>
      </w:pPr>
      <w:rPr>
        <w:rFonts w:ascii="Courier New" w:hAnsi="Courier New" w:cs="Courier New" w:hint="default"/>
      </w:rPr>
    </w:lvl>
    <w:lvl w:ilvl="8" w:tplc="105282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F6715"/>
    <w:multiLevelType w:val="hybridMultilevel"/>
    <w:tmpl w:val="0350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A1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3A4EFF"/>
    <w:multiLevelType w:val="hybridMultilevel"/>
    <w:tmpl w:val="B23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54426"/>
    <w:multiLevelType w:val="hybridMultilevel"/>
    <w:tmpl w:val="7DB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B707F"/>
    <w:multiLevelType w:val="hybridMultilevel"/>
    <w:tmpl w:val="FFF64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02307"/>
    <w:multiLevelType w:val="hybridMultilevel"/>
    <w:tmpl w:val="F520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0B29"/>
    <w:multiLevelType w:val="hybridMultilevel"/>
    <w:tmpl w:val="C28C1A96"/>
    <w:lvl w:ilvl="0" w:tplc="A25C15C4">
      <w:start w:val="1"/>
      <w:numFmt w:val="bullet"/>
      <w:lvlText w:val=""/>
      <w:lvlJc w:val="left"/>
      <w:pPr>
        <w:tabs>
          <w:tab w:val="num" w:pos="2520"/>
        </w:tabs>
        <w:ind w:left="2520" w:hanging="360"/>
      </w:pPr>
      <w:rPr>
        <w:rFonts w:ascii="Symbol" w:hAnsi="Symbol" w:hint="default"/>
      </w:rPr>
    </w:lvl>
    <w:lvl w:ilvl="1" w:tplc="824660E8" w:tentative="1">
      <w:start w:val="1"/>
      <w:numFmt w:val="bullet"/>
      <w:lvlText w:val="o"/>
      <w:lvlJc w:val="left"/>
      <w:pPr>
        <w:tabs>
          <w:tab w:val="num" w:pos="3240"/>
        </w:tabs>
        <w:ind w:left="3240" w:hanging="360"/>
      </w:pPr>
      <w:rPr>
        <w:rFonts w:ascii="Courier New" w:hAnsi="Courier New" w:cs="Courier New" w:hint="default"/>
      </w:rPr>
    </w:lvl>
    <w:lvl w:ilvl="2" w:tplc="18D4C32A" w:tentative="1">
      <w:start w:val="1"/>
      <w:numFmt w:val="bullet"/>
      <w:lvlText w:val=""/>
      <w:lvlJc w:val="left"/>
      <w:pPr>
        <w:tabs>
          <w:tab w:val="num" w:pos="3960"/>
        </w:tabs>
        <w:ind w:left="3960" w:hanging="360"/>
      </w:pPr>
      <w:rPr>
        <w:rFonts w:ascii="Wingdings" w:hAnsi="Wingdings" w:hint="default"/>
      </w:rPr>
    </w:lvl>
    <w:lvl w:ilvl="3" w:tplc="CB24AD84" w:tentative="1">
      <w:start w:val="1"/>
      <w:numFmt w:val="bullet"/>
      <w:lvlText w:val=""/>
      <w:lvlJc w:val="left"/>
      <w:pPr>
        <w:tabs>
          <w:tab w:val="num" w:pos="4680"/>
        </w:tabs>
        <w:ind w:left="4680" w:hanging="360"/>
      </w:pPr>
      <w:rPr>
        <w:rFonts w:ascii="Symbol" w:hAnsi="Symbol" w:hint="default"/>
      </w:rPr>
    </w:lvl>
    <w:lvl w:ilvl="4" w:tplc="3A02F07A" w:tentative="1">
      <w:start w:val="1"/>
      <w:numFmt w:val="bullet"/>
      <w:lvlText w:val="o"/>
      <w:lvlJc w:val="left"/>
      <w:pPr>
        <w:tabs>
          <w:tab w:val="num" w:pos="5400"/>
        </w:tabs>
        <w:ind w:left="5400" w:hanging="360"/>
      </w:pPr>
      <w:rPr>
        <w:rFonts w:ascii="Courier New" w:hAnsi="Courier New" w:cs="Courier New" w:hint="default"/>
      </w:rPr>
    </w:lvl>
    <w:lvl w:ilvl="5" w:tplc="32542FBA" w:tentative="1">
      <w:start w:val="1"/>
      <w:numFmt w:val="bullet"/>
      <w:lvlText w:val=""/>
      <w:lvlJc w:val="left"/>
      <w:pPr>
        <w:tabs>
          <w:tab w:val="num" w:pos="6120"/>
        </w:tabs>
        <w:ind w:left="6120" w:hanging="360"/>
      </w:pPr>
      <w:rPr>
        <w:rFonts w:ascii="Wingdings" w:hAnsi="Wingdings" w:hint="default"/>
      </w:rPr>
    </w:lvl>
    <w:lvl w:ilvl="6" w:tplc="753E6A4E" w:tentative="1">
      <w:start w:val="1"/>
      <w:numFmt w:val="bullet"/>
      <w:lvlText w:val=""/>
      <w:lvlJc w:val="left"/>
      <w:pPr>
        <w:tabs>
          <w:tab w:val="num" w:pos="6840"/>
        </w:tabs>
        <w:ind w:left="6840" w:hanging="360"/>
      </w:pPr>
      <w:rPr>
        <w:rFonts w:ascii="Symbol" w:hAnsi="Symbol" w:hint="default"/>
      </w:rPr>
    </w:lvl>
    <w:lvl w:ilvl="7" w:tplc="ADB43DB0" w:tentative="1">
      <w:start w:val="1"/>
      <w:numFmt w:val="bullet"/>
      <w:lvlText w:val="o"/>
      <w:lvlJc w:val="left"/>
      <w:pPr>
        <w:tabs>
          <w:tab w:val="num" w:pos="7560"/>
        </w:tabs>
        <w:ind w:left="7560" w:hanging="360"/>
      </w:pPr>
      <w:rPr>
        <w:rFonts w:ascii="Courier New" w:hAnsi="Courier New" w:cs="Courier New" w:hint="default"/>
      </w:rPr>
    </w:lvl>
    <w:lvl w:ilvl="8" w:tplc="EE583BB2"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44C56FB"/>
    <w:multiLevelType w:val="hybridMultilevel"/>
    <w:tmpl w:val="66F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01E0A"/>
    <w:multiLevelType w:val="hybridMultilevel"/>
    <w:tmpl w:val="246C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34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0E1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AA4F7F"/>
    <w:multiLevelType w:val="hybridMultilevel"/>
    <w:tmpl w:val="099CFF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64BA7"/>
    <w:multiLevelType w:val="hybridMultilevel"/>
    <w:tmpl w:val="390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913290">
    <w:abstractNumId w:val="17"/>
  </w:num>
  <w:num w:numId="2" w16cid:durableId="672991910">
    <w:abstractNumId w:val="0"/>
  </w:num>
  <w:num w:numId="3" w16cid:durableId="1485077837">
    <w:abstractNumId w:val="8"/>
  </w:num>
  <w:num w:numId="4" w16cid:durableId="1401634525">
    <w:abstractNumId w:val="16"/>
  </w:num>
  <w:num w:numId="5" w16cid:durableId="479662706">
    <w:abstractNumId w:val="13"/>
  </w:num>
  <w:num w:numId="6" w16cid:durableId="848370256">
    <w:abstractNumId w:val="6"/>
  </w:num>
  <w:num w:numId="7" w16cid:durableId="1004166916">
    <w:abstractNumId w:val="10"/>
  </w:num>
  <w:num w:numId="8" w16cid:durableId="1193804743">
    <w:abstractNumId w:val="3"/>
  </w:num>
  <w:num w:numId="9" w16cid:durableId="1515681948">
    <w:abstractNumId w:val="7"/>
  </w:num>
  <w:num w:numId="10" w16cid:durableId="1931158992">
    <w:abstractNumId w:val="9"/>
  </w:num>
  <w:num w:numId="11" w16cid:durableId="1120228592">
    <w:abstractNumId w:val="19"/>
  </w:num>
  <w:num w:numId="12" w16cid:durableId="1892570918">
    <w:abstractNumId w:val="1"/>
  </w:num>
  <w:num w:numId="13" w16cid:durableId="1955938270">
    <w:abstractNumId w:val="5"/>
  </w:num>
  <w:num w:numId="14" w16cid:durableId="1083726581">
    <w:abstractNumId w:val="4"/>
  </w:num>
  <w:num w:numId="15" w16cid:durableId="970088780">
    <w:abstractNumId w:val="14"/>
  </w:num>
  <w:num w:numId="16" w16cid:durableId="1940603801">
    <w:abstractNumId w:val="15"/>
  </w:num>
  <w:num w:numId="17" w16cid:durableId="852451722">
    <w:abstractNumId w:val="11"/>
  </w:num>
  <w:num w:numId="18" w16cid:durableId="569581159">
    <w:abstractNumId w:val="18"/>
  </w:num>
  <w:num w:numId="19" w16cid:durableId="1091852502">
    <w:abstractNumId w:val="12"/>
  </w:num>
  <w:num w:numId="20" w16cid:durableId="782261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C3"/>
    <w:rsid w:val="00021A2E"/>
    <w:rsid w:val="00046EB4"/>
    <w:rsid w:val="000658B1"/>
    <w:rsid w:val="00090DB9"/>
    <w:rsid w:val="000A0DD0"/>
    <w:rsid w:val="000B5512"/>
    <w:rsid w:val="000B6891"/>
    <w:rsid w:val="000D541E"/>
    <w:rsid w:val="000E74AF"/>
    <w:rsid w:val="00126EE8"/>
    <w:rsid w:val="00127219"/>
    <w:rsid w:val="00131736"/>
    <w:rsid w:val="00133E76"/>
    <w:rsid w:val="00194801"/>
    <w:rsid w:val="002352F5"/>
    <w:rsid w:val="00250133"/>
    <w:rsid w:val="00295FBD"/>
    <w:rsid w:val="00297CF5"/>
    <w:rsid w:val="002E2056"/>
    <w:rsid w:val="002F15B9"/>
    <w:rsid w:val="00353504"/>
    <w:rsid w:val="003758DF"/>
    <w:rsid w:val="00385DF7"/>
    <w:rsid w:val="003A21C3"/>
    <w:rsid w:val="003A4867"/>
    <w:rsid w:val="003B0A0F"/>
    <w:rsid w:val="003E5581"/>
    <w:rsid w:val="003F67AC"/>
    <w:rsid w:val="00407BB2"/>
    <w:rsid w:val="00416CB1"/>
    <w:rsid w:val="004303FC"/>
    <w:rsid w:val="004340BF"/>
    <w:rsid w:val="004369D6"/>
    <w:rsid w:val="0044772F"/>
    <w:rsid w:val="00456C08"/>
    <w:rsid w:val="00473893"/>
    <w:rsid w:val="004748B3"/>
    <w:rsid w:val="004A4F17"/>
    <w:rsid w:val="004C03C3"/>
    <w:rsid w:val="004C3785"/>
    <w:rsid w:val="005063B3"/>
    <w:rsid w:val="005200E6"/>
    <w:rsid w:val="0053226B"/>
    <w:rsid w:val="00557D61"/>
    <w:rsid w:val="00566F72"/>
    <w:rsid w:val="005713BE"/>
    <w:rsid w:val="00590A90"/>
    <w:rsid w:val="005967DF"/>
    <w:rsid w:val="00597D73"/>
    <w:rsid w:val="005D17F9"/>
    <w:rsid w:val="005D4C06"/>
    <w:rsid w:val="005D693C"/>
    <w:rsid w:val="005D6D05"/>
    <w:rsid w:val="005E51BB"/>
    <w:rsid w:val="006065D7"/>
    <w:rsid w:val="00632812"/>
    <w:rsid w:val="00636C84"/>
    <w:rsid w:val="00637194"/>
    <w:rsid w:val="00641292"/>
    <w:rsid w:val="006428DF"/>
    <w:rsid w:val="006651CD"/>
    <w:rsid w:val="006D5F8A"/>
    <w:rsid w:val="006E4B4F"/>
    <w:rsid w:val="006E60D4"/>
    <w:rsid w:val="00730864"/>
    <w:rsid w:val="00731FBE"/>
    <w:rsid w:val="00732141"/>
    <w:rsid w:val="00774FEF"/>
    <w:rsid w:val="00797614"/>
    <w:rsid w:val="007E4271"/>
    <w:rsid w:val="0081098B"/>
    <w:rsid w:val="008A4EEA"/>
    <w:rsid w:val="008B40A5"/>
    <w:rsid w:val="008E4DBF"/>
    <w:rsid w:val="008E71EB"/>
    <w:rsid w:val="009139ED"/>
    <w:rsid w:val="00916973"/>
    <w:rsid w:val="00960C41"/>
    <w:rsid w:val="00965C9B"/>
    <w:rsid w:val="009A7AC4"/>
    <w:rsid w:val="009D49A2"/>
    <w:rsid w:val="009D4F76"/>
    <w:rsid w:val="009D6940"/>
    <w:rsid w:val="00A50827"/>
    <w:rsid w:val="00A52435"/>
    <w:rsid w:val="00A53829"/>
    <w:rsid w:val="00A759E8"/>
    <w:rsid w:val="00A922CA"/>
    <w:rsid w:val="00AA75C6"/>
    <w:rsid w:val="00B0654C"/>
    <w:rsid w:val="00B104F0"/>
    <w:rsid w:val="00B326DC"/>
    <w:rsid w:val="00B37816"/>
    <w:rsid w:val="00B509FA"/>
    <w:rsid w:val="00B636B3"/>
    <w:rsid w:val="00B74B9E"/>
    <w:rsid w:val="00B82509"/>
    <w:rsid w:val="00B91B8F"/>
    <w:rsid w:val="00BA6F95"/>
    <w:rsid w:val="00BA7ECF"/>
    <w:rsid w:val="00BC372A"/>
    <w:rsid w:val="00C058B3"/>
    <w:rsid w:val="00C0644C"/>
    <w:rsid w:val="00C1181E"/>
    <w:rsid w:val="00C51891"/>
    <w:rsid w:val="00C81D5A"/>
    <w:rsid w:val="00CA79C3"/>
    <w:rsid w:val="00D11703"/>
    <w:rsid w:val="00D776D2"/>
    <w:rsid w:val="00DD555D"/>
    <w:rsid w:val="00DE638B"/>
    <w:rsid w:val="00DF271E"/>
    <w:rsid w:val="00DF2F84"/>
    <w:rsid w:val="00E136BB"/>
    <w:rsid w:val="00E1403E"/>
    <w:rsid w:val="00E2292A"/>
    <w:rsid w:val="00E5590E"/>
    <w:rsid w:val="00E87C47"/>
    <w:rsid w:val="00EC1F8F"/>
    <w:rsid w:val="00ED54F8"/>
    <w:rsid w:val="00ED7573"/>
    <w:rsid w:val="00EE1BCA"/>
    <w:rsid w:val="00F03C5D"/>
    <w:rsid w:val="00F1479F"/>
    <w:rsid w:val="00F24AD6"/>
    <w:rsid w:val="00F378D2"/>
    <w:rsid w:val="00F46872"/>
    <w:rsid w:val="00F50EB7"/>
    <w:rsid w:val="00F5607B"/>
    <w:rsid w:val="00F560F0"/>
    <w:rsid w:val="00F801B1"/>
    <w:rsid w:val="00FB6488"/>
    <w:rsid w:val="00FD38FA"/>
    <w:rsid w:val="00FE094B"/>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473173"/>
  <w15:chartTrackingRefBased/>
  <w15:docId w15:val="{F4F37C9D-7F10-4E8A-B632-20472FC7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er">
    <w:name w:val="footer"/>
    <w:basedOn w:val="Normal"/>
    <w:pPr>
      <w:tabs>
        <w:tab w:val="center" w:pos="4320"/>
        <w:tab w:val="right" w:pos="8640"/>
      </w:tabs>
      <w:jc w:val="both"/>
    </w:pPr>
    <w:rPr>
      <w:spacing w:val="-5"/>
    </w:rPr>
  </w:style>
  <w:style w:type="paragraph" w:styleId="BodyText2">
    <w:name w:val="Body Text 2"/>
    <w:basedOn w:val="Normal"/>
    <w:rPr>
      <w:snapToGrid w:val="0"/>
      <w:color w:val="000000"/>
      <w:sz w:val="22"/>
    </w:rPr>
  </w:style>
  <w:style w:type="paragraph" w:customStyle="1" w:styleId="ParagraphTitle">
    <w:name w:val="Paragraph Title"/>
    <w:basedOn w:val="Normal"/>
    <w:pPr>
      <w:tabs>
        <w:tab w:val="left" w:pos="720"/>
        <w:tab w:val="left" w:pos="1440"/>
      </w:tabs>
      <w:spacing w:before="120" w:after="120"/>
      <w:ind w:left="720" w:hanging="720"/>
    </w:pPr>
    <w:rPr>
      <w:rFonts w:ascii="Arial Bold" w:hAnsi="Arial Bold"/>
      <w:b/>
      <w:sz w:val="22"/>
    </w:rPr>
  </w:style>
  <w:style w:type="paragraph" w:customStyle="1" w:styleId="ParagraphText">
    <w:name w:val="Paragraph Text"/>
    <w:basedOn w:val="Normal"/>
    <w:pPr>
      <w:tabs>
        <w:tab w:val="left" w:pos="720"/>
        <w:tab w:val="left" w:pos="1440"/>
      </w:tabs>
      <w:spacing w:after="120"/>
      <w:ind w:left="720" w:hanging="720"/>
      <w:jc w:val="both"/>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637194"/>
    <w:rPr>
      <w:rFonts w:ascii="Tahoma" w:hAnsi="Tahoma" w:cs="Tahoma"/>
      <w:sz w:val="16"/>
      <w:szCs w:val="16"/>
    </w:rPr>
  </w:style>
  <w:style w:type="character" w:customStyle="1" w:styleId="BalloonTextChar">
    <w:name w:val="Balloon Text Char"/>
    <w:link w:val="BalloonText"/>
    <w:rsid w:val="00637194"/>
    <w:rPr>
      <w:rFonts w:ascii="Tahoma" w:hAnsi="Tahoma" w:cs="Tahoma"/>
      <w:sz w:val="16"/>
      <w:szCs w:val="16"/>
    </w:rPr>
  </w:style>
  <w:style w:type="character" w:styleId="CommentReference">
    <w:name w:val="annotation reference"/>
    <w:rsid w:val="00E1403E"/>
    <w:rPr>
      <w:sz w:val="16"/>
      <w:szCs w:val="16"/>
    </w:rPr>
  </w:style>
  <w:style w:type="paragraph" w:styleId="CommentText">
    <w:name w:val="annotation text"/>
    <w:basedOn w:val="Normal"/>
    <w:link w:val="CommentTextChar"/>
    <w:rsid w:val="00E1403E"/>
  </w:style>
  <w:style w:type="character" w:customStyle="1" w:styleId="CommentTextChar">
    <w:name w:val="Comment Text Char"/>
    <w:link w:val="CommentText"/>
    <w:rsid w:val="00E1403E"/>
    <w:rPr>
      <w:rFonts w:ascii="Arial" w:hAnsi="Arial"/>
    </w:rPr>
  </w:style>
  <w:style w:type="paragraph" w:styleId="CommentSubject">
    <w:name w:val="annotation subject"/>
    <w:basedOn w:val="CommentText"/>
    <w:next w:val="CommentText"/>
    <w:link w:val="CommentSubjectChar"/>
    <w:rsid w:val="00E1403E"/>
    <w:rPr>
      <w:b/>
      <w:bCs/>
    </w:rPr>
  </w:style>
  <w:style w:type="character" w:customStyle="1" w:styleId="CommentSubjectChar">
    <w:name w:val="Comment Subject Char"/>
    <w:link w:val="CommentSubject"/>
    <w:rsid w:val="00E1403E"/>
    <w:rPr>
      <w:rFonts w:ascii="Arial" w:hAnsi="Arial"/>
      <w:b/>
      <w:bCs/>
    </w:rPr>
  </w:style>
  <w:style w:type="paragraph" w:styleId="ListParagraph">
    <w:name w:val="List Paragraph"/>
    <w:basedOn w:val="Normal"/>
    <w:uiPriority w:val="34"/>
    <w:qFormat/>
    <w:rsid w:val="00E5590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admin.eku.edu/sites/projectadmin.eku.edu/files/00106.7_sustainability_building_guidelines.pdf" TargetMode="External"/><Relationship Id="rId3" Type="http://schemas.openxmlformats.org/officeDocument/2006/relationships/settings" Target="settings.xml"/><Relationship Id="rId7" Type="http://schemas.openxmlformats.org/officeDocument/2006/relationships/hyperlink" Target="http://lrc.ky.gov/KRS/322-00/36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1922</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Article 6 - General Responsibilities of Design Professionals in Capital Construction Projects:</vt:lpstr>
    </vt:vector>
  </TitlesOfParts>
  <Company>Commonwealth of Kentucky</Company>
  <LinksUpToDate>false</LinksUpToDate>
  <CharactersWithSpaces>14201</CharactersWithSpaces>
  <SharedDoc>false</SharedDoc>
  <HLinks>
    <vt:vector size="12" baseType="variant">
      <vt:variant>
        <vt:i4>5963819</vt:i4>
      </vt:variant>
      <vt:variant>
        <vt:i4>3</vt:i4>
      </vt:variant>
      <vt:variant>
        <vt:i4>0</vt:i4>
      </vt:variant>
      <vt:variant>
        <vt:i4>5</vt:i4>
      </vt:variant>
      <vt:variant>
        <vt:lpwstr>http://projectadmin.eku.edu/sites/projectadmin.eku.edu/files/00106.7_sustainability_building_guidelines.pdf</vt:lpwstr>
      </vt:variant>
      <vt:variant>
        <vt:lpwstr/>
      </vt:variant>
      <vt:variant>
        <vt:i4>4587591</vt:i4>
      </vt:variant>
      <vt:variant>
        <vt:i4>0</vt:i4>
      </vt:variant>
      <vt:variant>
        <vt:i4>0</vt:i4>
      </vt:variant>
      <vt:variant>
        <vt:i4>5</vt:i4>
      </vt:variant>
      <vt:variant>
        <vt:lpwstr>http://lrc.ky.gov/KRS/322-00/360.PDF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6 - General Responsibilities of Design Professionals in Capital Construction Projects:</dc:title>
  <dc:subject/>
  <dc:creator>JR Meyer</dc:creator>
  <cp:keywords/>
  <cp:lastModifiedBy>Reeves, Ellen</cp:lastModifiedBy>
  <cp:revision>4</cp:revision>
  <cp:lastPrinted>2013-02-13T17:50:00Z</cp:lastPrinted>
  <dcterms:created xsi:type="dcterms:W3CDTF">2018-03-22T15:36:00Z</dcterms:created>
  <dcterms:modified xsi:type="dcterms:W3CDTF">2023-02-04T18:40:00Z</dcterms:modified>
</cp:coreProperties>
</file>