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E91" w14:textId="77777777" w:rsidR="005D584B" w:rsidRPr="004C3BD1" w:rsidRDefault="005D584B" w:rsidP="001730EA">
      <w:pPr>
        <w:rPr>
          <w:b/>
          <w:bCs/>
          <w:snapToGrid w:val="0"/>
          <w:sz w:val="28"/>
          <w:szCs w:val="28"/>
        </w:rPr>
      </w:pPr>
      <w:r w:rsidRPr="004C3BD1">
        <w:rPr>
          <w:b/>
          <w:bCs/>
          <w:snapToGrid w:val="0"/>
          <w:sz w:val="28"/>
          <w:szCs w:val="28"/>
        </w:rPr>
        <w:t>2</w:t>
      </w:r>
      <w:r w:rsidR="00BE6287" w:rsidRPr="004C3BD1">
        <w:rPr>
          <w:b/>
          <w:bCs/>
          <w:snapToGrid w:val="0"/>
          <w:sz w:val="28"/>
          <w:szCs w:val="28"/>
        </w:rPr>
        <w:t>1</w:t>
      </w:r>
      <w:r w:rsidR="00080EF5" w:rsidRPr="004C3BD1">
        <w:rPr>
          <w:b/>
          <w:bCs/>
          <w:snapToGrid w:val="0"/>
          <w:sz w:val="28"/>
          <w:szCs w:val="28"/>
        </w:rPr>
        <w:t>2</w:t>
      </w:r>
      <w:r w:rsidRPr="004C3BD1">
        <w:rPr>
          <w:b/>
          <w:bCs/>
          <w:snapToGrid w:val="0"/>
          <w:sz w:val="28"/>
          <w:szCs w:val="28"/>
        </w:rPr>
        <w:t xml:space="preserve"> </w:t>
      </w:r>
      <w:r w:rsidR="001730EA" w:rsidRPr="004C3BD1">
        <w:rPr>
          <w:b/>
          <w:bCs/>
          <w:snapToGrid w:val="0"/>
          <w:sz w:val="28"/>
          <w:szCs w:val="28"/>
        </w:rPr>
        <w:t xml:space="preserve">  </w:t>
      </w:r>
      <w:r w:rsidRPr="004C3BD1">
        <w:rPr>
          <w:b/>
          <w:bCs/>
          <w:snapToGrid w:val="0"/>
          <w:sz w:val="28"/>
          <w:szCs w:val="28"/>
        </w:rPr>
        <w:t>Hazardous Materials</w:t>
      </w:r>
    </w:p>
    <w:p w14:paraId="1FF10F94" w14:textId="77777777" w:rsidR="005D584B" w:rsidRPr="004C3BD1" w:rsidRDefault="005D584B" w:rsidP="001730EA">
      <w:pPr>
        <w:rPr>
          <w:b/>
          <w:bCs/>
          <w:snapToGrid w:val="0"/>
          <w:sz w:val="22"/>
          <w:szCs w:val="22"/>
        </w:rPr>
      </w:pPr>
    </w:p>
    <w:p w14:paraId="7DEF5E81" w14:textId="77777777" w:rsidR="007E2038" w:rsidRPr="004C3BD1" w:rsidRDefault="007E2038" w:rsidP="007E2038">
      <w:pPr>
        <w:rPr>
          <w:b/>
          <w:sz w:val="22"/>
          <w:szCs w:val="22"/>
        </w:rPr>
      </w:pPr>
    </w:p>
    <w:p w14:paraId="63096E7A" w14:textId="77777777" w:rsidR="007E2038" w:rsidRPr="004C3BD1" w:rsidRDefault="007E2038" w:rsidP="00170775">
      <w:pPr>
        <w:ind w:left="360" w:hanging="360"/>
        <w:rPr>
          <w:b/>
          <w:sz w:val="28"/>
          <w:szCs w:val="28"/>
        </w:rPr>
      </w:pPr>
      <w:r w:rsidRPr="004C3BD1">
        <w:rPr>
          <w:b/>
          <w:sz w:val="22"/>
          <w:szCs w:val="22"/>
        </w:rPr>
        <w:t>21</w:t>
      </w:r>
      <w:r w:rsidR="00080EF5" w:rsidRPr="004C3BD1">
        <w:rPr>
          <w:b/>
          <w:sz w:val="22"/>
          <w:szCs w:val="22"/>
        </w:rPr>
        <w:t>2</w:t>
      </w:r>
      <w:r w:rsidRPr="004C3BD1">
        <w:rPr>
          <w:b/>
          <w:sz w:val="22"/>
          <w:szCs w:val="22"/>
        </w:rPr>
        <w:t>.</w:t>
      </w:r>
      <w:r w:rsidR="00080EF5" w:rsidRPr="004C3BD1">
        <w:rPr>
          <w:b/>
          <w:sz w:val="22"/>
          <w:szCs w:val="22"/>
        </w:rPr>
        <w:t>1</w:t>
      </w:r>
      <w:r w:rsidRPr="004C3BD1">
        <w:rPr>
          <w:b/>
          <w:sz w:val="22"/>
          <w:szCs w:val="22"/>
        </w:rPr>
        <w:t xml:space="preserve"> Coordination: </w:t>
      </w:r>
      <w:r w:rsidRPr="004C3BD1">
        <w:rPr>
          <w:sz w:val="22"/>
          <w:szCs w:val="22"/>
        </w:rPr>
        <w:t xml:space="preserve">The Architect-Engineer shall coordinate with the Project Manager and the </w:t>
      </w:r>
      <w:r w:rsidR="008C0028" w:rsidRPr="004C3BD1">
        <w:rPr>
          <w:sz w:val="22"/>
          <w:szCs w:val="22"/>
        </w:rPr>
        <w:t>Executive Director of Public Safety and Risk Management</w:t>
      </w:r>
      <w:r w:rsidRPr="004C3BD1">
        <w:rPr>
          <w:sz w:val="22"/>
          <w:szCs w:val="22"/>
        </w:rPr>
        <w:t xml:space="preserve"> for the need of a survey for hazardous building materials. The process for detection and abatement of hazardous building materials (</w:t>
      </w:r>
      <w:proofErr w:type="gramStart"/>
      <w:r w:rsidRPr="004C3BD1">
        <w:rPr>
          <w:sz w:val="22"/>
          <w:szCs w:val="22"/>
        </w:rPr>
        <w:t>i.e.</w:t>
      </w:r>
      <w:proofErr w:type="gramEnd"/>
      <w:r w:rsidRPr="004C3BD1">
        <w:rPr>
          <w:sz w:val="22"/>
          <w:szCs w:val="22"/>
        </w:rPr>
        <w:t xml:space="preserve"> asbestos-containing materials, underground fuel tanks, PCB containing transformers, etc.) is addressed in this section.</w:t>
      </w:r>
    </w:p>
    <w:p w14:paraId="7BE022A5" w14:textId="77777777" w:rsidR="007E2038" w:rsidRPr="004C3BD1" w:rsidRDefault="007E2038" w:rsidP="00170775">
      <w:pPr>
        <w:pStyle w:val="BodyTextIndent"/>
        <w:ind w:left="360" w:hanging="360"/>
        <w:rPr>
          <w:b/>
          <w:snapToGrid w:val="0"/>
          <w:sz w:val="22"/>
          <w:szCs w:val="22"/>
        </w:rPr>
      </w:pPr>
    </w:p>
    <w:p w14:paraId="609E1C76" w14:textId="77777777" w:rsidR="0082092B" w:rsidRDefault="007E2038" w:rsidP="00170775">
      <w:pPr>
        <w:pStyle w:val="BodyTextIndent"/>
        <w:ind w:left="360" w:hanging="360"/>
        <w:rPr>
          <w:snapToGrid w:val="0"/>
          <w:sz w:val="22"/>
          <w:szCs w:val="22"/>
        </w:rPr>
      </w:pPr>
      <w:r w:rsidRPr="004C3BD1">
        <w:rPr>
          <w:b/>
          <w:snapToGrid w:val="0"/>
          <w:sz w:val="22"/>
          <w:szCs w:val="22"/>
        </w:rPr>
        <w:t>21</w:t>
      </w:r>
      <w:r w:rsidR="00080EF5" w:rsidRPr="004C3BD1">
        <w:rPr>
          <w:b/>
          <w:snapToGrid w:val="0"/>
          <w:sz w:val="22"/>
          <w:szCs w:val="22"/>
        </w:rPr>
        <w:t>2.2</w:t>
      </w:r>
      <w:r w:rsidR="00B30578" w:rsidRPr="004C3BD1">
        <w:rPr>
          <w:b/>
          <w:snapToGrid w:val="0"/>
          <w:sz w:val="22"/>
          <w:szCs w:val="22"/>
        </w:rPr>
        <w:t xml:space="preserve"> General Requirements:</w:t>
      </w:r>
      <w:r w:rsidR="002E6D3B" w:rsidRPr="004C3BD1">
        <w:rPr>
          <w:b/>
          <w:snapToGrid w:val="0"/>
          <w:sz w:val="22"/>
          <w:szCs w:val="22"/>
        </w:rPr>
        <w:t xml:space="preserve"> </w:t>
      </w:r>
      <w:r w:rsidR="006B0A7E" w:rsidRPr="004C3BD1">
        <w:rPr>
          <w:snapToGrid w:val="0"/>
          <w:sz w:val="22"/>
          <w:szCs w:val="22"/>
        </w:rPr>
        <w:t xml:space="preserve">This </w:t>
      </w:r>
      <w:r w:rsidR="002F2204" w:rsidRPr="004C3BD1">
        <w:rPr>
          <w:snapToGrid w:val="0"/>
          <w:sz w:val="22"/>
          <w:szCs w:val="22"/>
        </w:rPr>
        <w:t xml:space="preserve">section </w:t>
      </w:r>
      <w:r w:rsidR="006B0A7E" w:rsidRPr="004C3BD1">
        <w:rPr>
          <w:snapToGrid w:val="0"/>
          <w:sz w:val="22"/>
          <w:szCs w:val="22"/>
        </w:rPr>
        <w:t>outlines the general r</w:t>
      </w:r>
      <w:r w:rsidR="00AB7637" w:rsidRPr="004C3BD1">
        <w:rPr>
          <w:snapToGrid w:val="0"/>
          <w:sz w:val="22"/>
          <w:szCs w:val="22"/>
        </w:rPr>
        <w:t>equirements and content of the hazardous m</w:t>
      </w:r>
      <w:r w:rsidR="006B0A7E" w:rsidRPr="004C3BD1">
        <w:rPr>
          <w:snapToGrid w:val="0"/>
          <w:sz w:val="22"/>
          <w:szCs w:val="22"/>
        </w:rPr>
        <w:t xml:space="preserve">aterial </w:t>
      </w:r>
      <w:r w:rsidR="00AB7637" w:rsidRPr="004C3BD1">
        <w:rPr>
          <w:snapToGrid w:val="0"/>
          <w:sz w:val="22"/>
          <w:szCs w:val="22"/>
        </w:rPr>
        <w:t>i</w:t>
      </w:r>
      <w:r w:rsidR="006B0A7E" w:rsidRPr="004C3BD1">
        <w:rPr>
          <w:snapToGrid w:val="0"/>
          <w:sz w:val="22"/>
          <w:szCs w:val="22"/>
        </w:rPr>
        <w:t xml:space="preserve">nvestigations that </w:t>
      </w:r>
      <w:r w:rsidR="0036747B" w:rsidRPr="004C3BD1">
        <w:rPr>
          <w:snapToGrid w:val="0"/>
          <w:sz w:val="22"/>
          <w:szCs w:val="22"/>
        </w:rPr>
        <w:t>may</w:t>
      </w:r>
      <w:r w:rsidR="006B0A7E" w:rsidRPr="004C3BD1">
        <w:rPr>
          <w:snapToGrid w:val="0"/>
          <w:sz w:val="22"/>
          <w:szCs w:val="22"/>
        </w:rPr>
        <w:t xml:space="preserve"> be required in the design and advance planning of the </w:t>
      </w:r>
      <w:r w:rsidR="002E6D3B" w:rsidRPr="004C3BD1">
        <w:rPr>
          <w:snapToGrid w:val="0"/>
          <w:sz w:val="22"/>
          <w:szCs w:val="22"/>
        </w:rPr>
        <w:t>Project</w:t>
      </w:r>
      <w:r w:rsidR="006B0A7E" w:rsidRPr="004C3BD1">
        <w:rPr>
          <w:snapToGrid w:val="0"/>
          <w:sz w:val="22"/>
          <w:szCs w:val="22"/>
        </w:rPr>
        <w:t>.</w:t>
      </w:r>
      <w:r w:rsidR="002E6D3B" w:rsidRPr="004C3BD1">
        <w:rPr>
          <w:snapToGrid w:val="0"/>
          <w:sz w:val="22"/>
          <w:szCs w:val="22"/>
        </w:rPr>
        <w:t xml:space="preserve"> </w:t>
      </w:r>
    </w:p>
    <w:p w14:paraId="2CB6B2E9" w14:textId="77777777" w:rsidR="009A563D" w:rsidRPr="004C3BD1" w:rsidRDefault="009A563D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77FA5887" w14:textId="77777777" w:rsidR="00242023" w:rsidRDefault="0036747B" w:rsidP="00170775">
      <w:pPr>
        <w:pStyle w:val="BodyTextIndent"/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 xml:space="preserve">When suspected hazardous materials are encountered </w:t>
      </w:r>
      <w:proofErr w:type="gramStart"/>
      <w:r w:rsidRPr="004C3BD1">
        <w:rPr>
          <w:snapToGrid w:val="0"/>
          <w:sz w:val="22"/>
          <w:szCs w:val="22"/>
        </w:rPr>
        <w:t>during the course of</w:t>
      </w:r>
      <w:proofErr w:type="gramEnd"/>
      <w:r w:rsidRPr="004C3BD1">
        <w:rPr>
          <w:snapToGrid w:val="0"/>
          <w:sz w:val="22"/>
          <w:szCs w:val="22"/>
        </w:rPr>
        <w:t xml:space="preserve"> investigating existing facilities or sites, the Architect-Engineer shall immediately inform the Project Manager. </w:t>
      </w:r>
    </w:p>
    <w:p w14:paraId="5A23229C" w14:textId="77777777" w:rsidR="009A563D" w:rsidRDefault="009A563D" w:rsidP="00170775">
      <w:pPr>
        <w:pStyle w:val="BodyTextIndent"/>
        <w:ind w:left="360"/>
        <w:rPr>
          <w:snapToGrid w:val="0"/>
          <w:sz w:val="22"/>
          <w:szCs w:val="22"/>
        </w:rPr>
      </w:pPr>
    </w:p>
    <w:p w14:paraId="10F3A659" w14:textId="77777777" w:rsidR="009A563D" w:rsidRPr="004C3BD1" w:rsidRDefault="009A563D" w:rsidP="00170775">
      <w:pPr>
        <w:pStyle w:val="BodyTextIndent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Where the extent of hazardous material is known, an abatement contractor may be engaged for removal without the involvement of an Environmental firm.</w:t>
      </w:r>
    </w:p>
    <w:p w14:paraId="6E41587B" w14:textId="77777777" w:rsidR="00242023" w:rsidRPr="004C3BD1" w:rsidRDefault="00242023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5BEC50B5" w14:textId="334217E2" w:rsidR="002F3B54" w:rsidRPr="004C3BD1" w:rsidRDefault="002E6D3B" w:rsidP="00170775">
      <w:pPr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>T</w:t>
      </w:r>
      <w:r w:rsidR="006B0A7E" w:rsidRPr="004C3BD1">
        <w:rPr>
          <w:snapToGrid w:val="0"/>
          <w:sz w:val="22"/>
          <w:szCs w:val="22"/>
        </w:rPr>
        <w:t xml:space="preserve">he </w:t>
      </w:r>
      <w:r w:rsidR="00CC5C70" w:rsidRPr="004C3BD1">
        <w:rPr>
          <w:snapToGrid w:val="0"/>
          <w:sz w:val="22"/>
          <w:szCs w:val="22"/>
        </w:rPr>
        <w:t xml:space="preserve">Project Manager and the </w:t>
      </w:r>
      <w:r w:rsidR="00EE1A2A" w:rsidRPr="004C3BD1">
        <w:rPr>
          <w:snapToGrid w:val="0"/>
          <w:sz w:val="22"/>
          <w:szCs w:val="22"/>
        </w:rPr>
        <w:t>Executive Director of Public Safety and Risk Management</w:t>
      </w:r>
      <w:r w:rsidR="00081626" w:rsidRPr="004C3BD1">
        <w:rPr>
          <w:snapToGrid w:val="0"/>
          <w:sz w:val="22"/>
          <w:szCs w:val="22"/>
        </w:rPr>
        <w:t xml:space="preserve"> </w:t>
      </w:r>
      <w:r w:rsidR="00544C36" w:rsidRPr="004C3BD1">
        <w:rPr>
          <w:snapToGrid w:val="0"/>
          <w:sz w:val="22"/>
          <w:szCs w:val="22"/>
        </w:rPr>
        <w:t xml:space="preserve">will </w:t>
      </w:r>
      <w:r w:rsidR="006B0A7E" w:rsidRPr="004C3BD1">
        <w:rPr>
          <w:snapToGrid w:val="0"/>
          <w:sz w:val="22"/>
          <w:szCs w:val="22"/>
        </w:rPr>
        <w:t>determin</w:t>
      </w:r>
      <w:r w:rsidR="00544C36" w:rsidRPr="004C3BD1">
        <w:rPr>
          <w:snapToGrid w:val="0"/>
          <w:sz w:val="22"/>
          <w:szCs w:val="22"/>
        </w:rPr>
        <w:t>e</w:t>
      </w:r>
      <w:r w:rsidR="006B0A7E" w:rsidRPr="004C3BD1">
        <w:rPr>
          <w:snapToGrid w:val="0"/>
          <w:sz w:val="22"/>
          <w:szCs w:val="22"/>
        </w:rPr>
        <w:t xml:space="preserve"> the necessity of </w:t>
      </w:r>
      <w:r w:rsidR="00EC3D0A" w:rsidRPr="004C3BD1">
        <w:rPr>
          <w:snapToGrid w:val="0"/>
          <w:sz w:val="22"/>
          <w:szCs w:val="22"/>
        </w:rPr>
        <w:t xml:space="preserve">environmental </w:t>
      </w:r>
      <w:r w:rsidR="006B0A7E" w:rsidRPr="004C3BD1">
        <w:rPr>
          <w:snapToGrid w:val="0"/>
          <w:sz w:val="22"/>
          <w:szCs w:val="22"/>
        </w:rPr>
        <w:t xml:space="preserve">engineering services for the </w:t>
      </w:r>
      <w:r w:rsidR="00292B8B" w:rsidRPr="004C3BD1">
        <w:rPr>
          <w:snapToGrid w:val="0"/>
          <w:sz w:val="22"/>
          <w:szCs w:val="22"/>
        </w:rPr>
        <w:t>identification</w:t>
      </w:r>
      <w:r w:rsidR="006B0A7E" w:rsidRPr="004C3BD1">
        <w:rPr>
          <w:snapToGrid w:val="0"/>
          <w:sz w:val="22"/>
          <w:szCs w:val="22"/>
        </w:rPr>
        <w:t xml:space="preserve"> and abatement of hazardous materials. </w:t>
      </w:r>
      <w:r w:rsidR="00D0337B" w:rsidRPr="004C3BD1">
        <w:rPr>
          <w:snapToGrid w:val="0"/>
          <w:sz w:val="22"/>
          <w:szCs w:val="22"/>
        </w:rPr>
        <w:t xml:space="preserve">Depending on the scope, investigation work may be performed by </w:t>
      </w:r>
      <w:r w:rsidR="00BE71F3">
        <w:rPr>
          <w:snapToGrid w:val="0"/>
          <w:sz w:val="22"/>
          <w:szCs w:val="22"/>
        </w:rPr>
        <w:t>DFMS</w:t>
      </w:r>
      <w:r w:rsidR="00D0337B" w:rsidRPr="004C3BD1">
        <w:rPr>
          <w:snapToGrid w:val="0"/>
          <w:sz w:val="22"/>
          <w:szCs w:val="22"/>
        </w:rPr>
        <w:t xml:space="preserve"> personnel or by an Environmental firm. </w:t>
      </w:r>
      <w:r w:rsidR="006B0A7E" w:rsidRPr="004C3BD1">
        <w:rPr>
          <w:snapToGrid w:val="0"/>
          <w:sz w:val="22"/>
          <w:szCs w:val="22"/>
        </w:rPr>
        <w:t xml:space="preserve">The </w:t>
      </w:r>
      <w:r w:rsidR="009A563D">
        <w:rPr>
          <w:snapToGrid w:val="0"/>
          <w:sz w:val="22"/>
          <w:szCs w:val="22"/>
        </w:rPr>
        <w:t>Architect-Engineering firm</w:t>
      </w:r>
      <w:r w:rsidR="006B0A7E" w:rsidRPr="004C3BD1">
        <w:rPr>
          <w:snapToGrid w:val="0"/>
          <w:sz w:val="22"/>
          <w:szCs w:val="22"/>
        </w:rPr>
        <w:t xml:space="preserve"> shall </w:t>
      </w:r>
      <w:r w:rsidR="00292B8B" w:rsidRPr="004C3BD1">
        <w:rPr>
          <w:snapToGrid w:val="0"/>
          <w:sz w:val="22"/>
          <w:szCs w:val="22"/>
        </w:rPr>
        <w:t>coordinate with</w:t>
      </w:r>
      <w:r w:rsidR="006B0A7E" w:rsidRPr="004C3BD1">
        <w:rPr>
          <w:snapToGrid w:val="0"/>
          <w:sz w:val="22"/>
          <w:szCs w:val="22"/>
        </w:rPr>
        <w:t xml:space="preserve"> the </w:t>
      </w:r>
      <w:r w:rsidR="00EC3D0A" w:rsidRPr="004C3BD1">
        <w:rPr>
          <w:snapToGrid w:val="0"/>
          <w:sz w:val="22"/>
          <w:szCs w:val="22"/>
        </w:rPr>
        <w:t xml:space="preserve">Environmental </w:t>
      </w:r>
      <w:r w:rsidR="006B0A7E" w:rsidRPr="004C3BD1">
        <w:rPr>
          <w:snapToGrid w:val="0"/>
          <w:sz w:val="22"/>
          <w:szCs w:val="22"/>
        </w:rPr>
        <w:t>firm for th</w:t>
      </w:r>
      <w:r w:rsidR="00292B8B" w:rsidRPr="004C3BD1">
        <w:rPr>
          <w:snapToGrid w:val="0"/>
          <w:sz w:val="22"/>
          <w:szCs w:val="22"/>
        </w:rPr>
        <w:t>is</w:t>
      </w:r>
      <w:r w:rsidR="006B0A7E" w:rsidRPr="004C3BD1">
        <w:rPr>
          <w:snapToGrid w:val="0"/>
          <w:sz w:val="22"/>
          <w:szCs w:val="22"/>
        </w:rPr>
        <w:t xml:space="preserve"> investigation. </w:t>
      </w:r>
    </w:p>
    <w:p w14:paraId="13E10A7F" w14:textId="77777777" w:rsidR="002F3B54" w:rsidRPr="004C3BD1" w:rsidRDefault="002F3B54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3B5C5C57" w14:textId="77777777" w:rsidR="0036747B" w:rsidRPr="004C3BD1" w:rsidRDefault="00A57825" w:rsidP="00170775">
      <w:pPr>
        <w:pStyle w:val="BodyTextIndent"/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 xml:space="preserve">All labor, materials, and equipment necessary to perform surveying for hazardous materials shall be </w:t>
      </w:r>
      <w:r w:rsidR="006B0A7E" w:rsidRPr="004C3BD1">
        <w:rPr>
          <w:snapToGrid w:val="0"/>
          <w:sz w:val="22"/>
          <w:szCs w:val="22"/>
        </w:rPr>
        <w:t xml:space="preserve">the responsibility of the </w:t>
      </w:r>
      <w:r w:rsidR="00EC3D0A" w:rsidRPr="004C3BD1">
        <w:rPr>
          <w:snapToGrid w:val="0"/>
          <w:sz w:val="22"/>
          <w:szCs w:val="22"/>
        </w:rPr>
        <w:t xml:space="preserve">Environmental </w:t>
      </w:r>
      <w:r w:rsidR="006B0A7E" w:rsidRPr="004C3BD1">
        <w:rPr>
          <w:snapToGrid w:val="0"/>
          <w:sz w:val="22"/>
          <w:szCs w:val="22"/>
        </w:rPr>
        <w:t>firm</w:t>
      </w:r>
      <w:r w:rsidR="001C360F" w:rsidRPr="004C3BD1">
        <w:rPr>
          <w:snapToGrid w:val="0"/>
          <w:sz w:val="22"/>
          <w:szCs w:val="22"/>
        </w:rPr>
        <w:t>.</w:t>
      </w:r>
      <w:r w:rsidR="0036747B" w:rsidRPr="004C3BD1">
        <w:rPr>
          <w:snapToGrid w:val="0"/>
          <w:sz w:val="22"/>
          <w:szCs w:val="22"/>
        </w:rPr>
        <w:t xml:space="preserve"> This investigation work shall be performed </w:t>
      </w:r>
      <w:r w:rsidR="00AD3426" w:rsidRPr="004C3BD1">
        <w:rPr>
          <w:snapToGrid w:val="0"/>
          <w:sz w:val="22"/>
          <w:szCs w:val="22"/>
        </w:rPr>
        <w:t xml:space="preserve">by </w:t>
      </w:r>
      <w:r w:rsidR="0036747B" w:rsidRPr="004C3BD1">
        <w:rPr>
          <w:snapToGrid w:val="0"/>
          <w:sz w:val="22"/>
          <w:szCs w:val="22"/>
        </w:rPr>
        <w:t>a</w:t>
      </w:r>
      <w:r w:rsidR="00AD3426" w:rsidRPr="004C3BD1">
        <w:rPr>
          <w:snapToGrid w:val="0"/>
          <w:sz w:val="22"/>
          <w:szCs w:val="22"/>
        </w:rPr>
        <w:t>n</w:t>
      </w:r>
      <w:r w:rsidR="0036747B" w:rsidRPr="004C3BD1">
        <w:rPr>
          <w:snapToGrid w:val="0"/>
          <w:sz w:val="22"/>
          <w:szCs w:val="22"/>
        </w:rPr>
        <w:t xml:space="preserve"> employee holding a valid Building Inspector Permit </w:t>
      </w:r>
      <w:r w:rsidR="00013BDA" w:rsidRPr="004C3BD1">
        <w:rPr>
          <w:snapToGrid w:val="0"/>
          <w:sz w:val="22"/>
          <w:szCs w:val="22"/>
        </w:rPr>
        <w:t xml:space="preserve">license </w:t>
      </w:r>
      <w:r w:rsidR="0036747B" w:rsidRPr="004C3BD1">
        <w:rPr>
          <w:snapToGrid w:val="0"/>
          <w:sz w:val="22"/>
          <w:szCs w:val="22"/>
        </w:rPr>
        <w:t>from the Division of Air Quality.</w:t>
      </w:r>
    </w:p>
    <w:p w14:paraId="614F43E7" w14:textId="77777777" w:rsidR="0036747B" w:rsidRPr="004C3BD1" w:rsidRDefault="0036747B" w:rsidP="00170775">
      <w:pPr>
        <w:pStyle w:val="BodyTextIndent"/>
        <w:ind w:left="360" w:hanging="360"/>
        <w:rPr>
          <w:b/>
          <w:snapToGrid w:val="0"/>
          <w:sz w:val="22"/>
          <w:szCs w:val="22"/>
        </w:rPr>
      </w:pPr>
    </w:p>
    <w:p w14:paraId="38ECEE01" w14:textId="77777777" w:rsidR="004D2728" w:rsidRPr="004C3BD1" w:rsidRDefault="007E2038" w:rsidP="00170775">
      <w:pPr>
        <w:pStyle w:val="BodyTextIndent"/>
        <w:ind w:left="360" w:hanging="360"/>
        <w:rPr>
          <w:snapToGrid w:val="0"/>
          <w:sz w:val="22"/>
          <w:szCs w:val="22"/>
        </w:rPr>
      </w:pPr>
      <w:r w:rsidRPr="004C3BD1">
        <w:rPr>
          <w:b/>
          <w:snapToGrid w:val="0"/>
          <w:sz w:val="22"/>
          <w:szCs w:val="22"/>
        </w:rPr>
        <w:t>21</w:t>
      </w:r>
      <w:r w:rsidR="00080EF5" w:rsidRPr="004C3BD1">
        <w:rPr>
          <w:b/>
          <w:snapToGrid w:val="0"/>
          <w:sz w:val="22"/>
          <w:szCs w:val="22"/>
        </w:rPr>
        <w:t>2.3</w:t>
      </w:r>
      <w:r w:rsidR="000D68C7" w:rsidRPr="004C3BD1">
        <w:rPr>
          <w:b/>
          <w:snapToGrid w:val="0"/>
          <w:sz w:val="22"/>
          <w:szCs w:val="22"/>
        </w:rPr>
        <w:t xml:space="preserve"> Investigation and Abatement Services</w:t>
      </w:r>
      <w:r w:rsidR="002E6D3B" w:rsidRPr="004C3BD1">
        <w:rPr>
          <w:b/>
          <w:snapToGrid w:val="0"/>
          <w:sz w:val="22"/>
          <w:szCs w:val="22"/>
        </w:rPr>
        <w:t xml:space="preserve">: </w:t>
      </w:r>
      <w:r w:rsidR="00AD4206" w:rsidRPr="004C3BD1">
        <w:rPr>
          <w:snapToGrid w:val="0"/>
          <w:sz w:val="22"/>
          <w:szCs w:val="22"/>
        </w:rPr>
        <w:t>The i</w:t>
      </w:r>
      <w:r w:rsidR="000D68C7" w:rsidRPr="004C3BD1">
        <w:rPr>
          <w:snapToGrid w:val="0"/>
          <w:sz w:val="22"/>
          <w:szCs w:val="22"/>
        </w:rPr>
        <w:t>nvestigation shall identify the type</w:t>
      </w:r>
      <w:r w:rsidR="00AD4206" w:rsidRPr="004C3BD1">
        <w:rPr>
          <w:snapToGrid w:val="0"/>
          <w:sz w:val="22"/>
          <w:szCs w:val="22"/>
        </w:rPr>
        <w:t>,</w:t>
      </w:r>
      <w:r w:rsidR="000D68C7" w:rsidRPr="004C3BD1">
        <w:rPr>
          <w:snapToGrid w:val="0"/>
          <w:sz w:val="22"/>
          <w:szCs w:val="22"/>
        </w:rPr>
        <w:t xml:space="preserve"> location, </w:t>
      </w:r>
      <w:proofErr w:type="gramStart"/>
      <w:r w:rsidR="000D68C7" w:rsidRPr="004C3BD1">
        <w:rPr>
          <w:snapToGrid w:val="0"/>
          <w:sz w:val="22"/>
          <w:szCs w:val="22"/>
        </w:rPr>
        <w:t>condition</w:t>
      </w:r>
      <w:proofErr w:type="gramEnd"/>
      <w:r w:rsidR="000D68C7" w:rsidRPr="004C3BD1">
        <w:rPr>
          <w:snapToGrid w:val="0"/>
          <w:sz w:val="22"/>
          <w:szCs w:val="22"/>
        </w:rPr>
        <w:t xml:space="preserve"> and quantity of the </w:t>
      </w:r>
      <w:r w:rsidR="00AD4206" w:rsidRPr="004C3BD1">
        <w:rPr>
          <w:snapToGrid w:val="0"/>
          <w:sz w:val="22"/>
          <w:szCs w:val="22"/>
        </w:rPr>
        <w:t xml:space="preserve">hazardous </w:t>
      </w:r>
      <w:r w:rsidR="000D68C7" w:rsidRPr="004C3BD1">
        <w:rPr>
          <w:snapToGrid w:val="0"/>
          <w:sz w:val="22"/>
          <w:szCs w:val="22"/>
        </w:rPr>
        <w:t>material</w:t>
      </w:r>
      <w:r w:rsidR="00AD4206" w:rsidRPr="004C3BD1">
        <w:rPr>
          <w:snapToGrid w:val="0"/>
          <w:sz w:val="22"/>
          <w:szCs w:val="22"/>
        </w:rPr>
        <w:t>s</w:t>
      </w:r>
      <w:r w:rsidR="000D68C7" w:rsidRPr="004C3BD1">
        <w:rPr>
          <w:snapToGrid w:val="0"/>
          <w:sz w:val="22"/>
          <w:szCs w:val="22"/>
        </w:rPr>
        <w:t xml:space="preserve"> present. </w:t>
      </w:r>
      <w:r w:rsidR="001C360F" w:rsidRPr="004C3BD1">
        <w:rPr>
          <w:snapToGrid w:val="0"/>
          <w:sz w:val="22"/>
          <w:szCs w:val="22"/>
        </w:rPr>
        <w:t xml:space="preserve">The Project Manager will provide any existing Record Drawings to assist the Environmental firm. </w:t>
      </w:r>
    </w:p>
    <w:p w14:paraId="74736437" w14:textId="77777777" w:rsidR="004D2728" w:rsidRPr="004C3BD1" w:rsidRDefault="004D2728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09D8999B" w14:textId="77777777" w:rsidR="002F3B54" w:rsidRPr="004C3BD1" w:rsidRDefault="001C360F" w:rsidP="00170775">
      <w:pPr>
        <w:pStyle w:val="BodyTextIndent"/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 xml:space="preserve">The results of the investigation shall include a report summarizing all findings. </w:t>
      </w:r>
      <w:r w:rsidR="00271F52" w:rsidRPr="004C3BD1">
        <w:rPr>
          <w:snapToGrid w:val="0"/>
          <w:sz w:val="22"/>
          <w:szCs w:val="22"/>
        </w:rPr>
        <w:t>The r</w:t>
      </w:r>
      <w:r w:rsidR="009A563D">
        <w:rPr>
          <w:snapToGrid w:val="0"/>
          <w:sz w:val="22"/>
          <w:szCs w:val="22"/>
        </w:rPr>
        <w:t xml:space="preserve">eport shall </w:t>
      </w:r>
      <w:r w:rsidR="004D2728" w:rsidRPr="004C3BD1">
        <w:rPr>
          <w:snapToGrid w:val="0"/>
          <w:sz w:val="22"/>
          <w:szCs w:val="22"/>
        </w:rPr>
        <w:t>include all testing information and results. Identification</w:t>
      </w:r>
      <w:r w:rsidR="00271F52" w:rsidRPr="004C3BD1">
        <w:rPr>
          <w:snapToGrid w:val="0"/>
          <w:sz w:val="22"/>
          <w:szCs w:val="22"/>
        </w:rPr>
        <w:t xml:space="preserve"> shall be shown </w:t>
      </w:r>
      <w:r w:rsidR="004D2728" w:rsidRPr="004C3BD1">
        <w:rPr>
          <w:snapToGrid w:val="0"/>
          <w:sz w:val="22"/>
          <w:szCs w:val="22"/>
        </w:rPr>
        <w:t xml:space="preserve">on drawings and/or digital files </w:t>
      </w:r>
      <w:r w:rsidR="00271F52" w:rsidRPr="004C3BD1">
        <w:rPr>
          <w:snapToGrid w:val="0"/>
          <w:sz w:val="22"/>
          <w:szCs w:val="22"/>
        </w:rPr>
        <w:t>with</w:t>
      </w:r>
      <w:r w:rsidR="004D2728" w:rsidRPr="004C3BD1">
        <w:rPr>
          <w:snapToGrid w:val="0"/>
          <w:sz w:val="22"/>
          <w:szCs w:val="22"/>
        </w:rPr>
        <w:t xml:space="preserve"> the location</w:t>
      </w:r>
      <w:r w:rsidR="00271F52" w:rsidRPr="004C3BD1">
        <w:rPr>
          <w:snapToGrid w:val="0"/>
          <w:sz w:val="22"/>
          <w:szCs w:val="22"/>
        </w:rPr>
        <w:t xml:space="preserve">s and </w:t>
      </w:r>
      <w:r w:rsidR="004D2728" w:rsidRPr="004C3BD1">
        <w:rPr>
          <w:snapToGrid w:val="0"/>
          <w:sz w:val="22"/>
          <w:szCs w:val="22"/>
        </w:rPr>
        <w:t xml:space="preserve">description of </w:t>
      </w:r>
      <w:r w:rsidR="00271F52" w:rsidRPr="004C3BD1">
        <w:rPr>
          <w:snapToGrid w:val="0"/>
          <w:sz w:val="22"/>
          <w:szCs w:val="22"/>
        </w:rPr>
        <w:t>all</w:t>
      </w:r>
      <w:r w:rsidR="004D2728" w:rsidRPr="004C3BD1">
        <w:rPr>
          <w:snapToGrid w:val="0"/>
          <w:sz w:val="22"/>
          <w:szCs w:val="22"/>
        </w:rPr>
        <w:t xml:space="preserve"> materials surveyed and/or tested. </w:t>
      </w:r>
      <w:r w:rsidR="002F3B54" w:rsidRPr="004C3BD1">
        <w:rPr>
          <w:snapToGrid w:val="0"/>
          <w:sz w:val="22"/>
          <w:szCs w:val="22"/>
        </w:rPr>
        <w:t xml:space="preserve">The Environmental firm is responsible for distribution of the completed report. The number of copies of the final report shall be determined by the </w:t>
      </w:r>
      <w:r w:rsidR="00EE1A2A" w:rsidRPr="004C3BD1">
        <w:rPr>
          <w:snapToGrid w:val="0"/>
          <w:sz w:val="22"/>
          <w:szCs w:val="22"/>
        </w:rPr>
        <w:t>Executive Director of Public Safety and Risk Management</w:t>
      </w:r>
      <w:r w:rsidR="002F3B54" w:rsidRPr="004C3BD1">
        <w:rPr>
          <w:snapToGrid w:val="0"/>
          <w:sz w:val="22"/>
          <w:szCs w:val="22"/>
        </w:rPr>
        <w:t xml:space="preserve"> and the Project Manager. </w:t>
      </w:r>
    </w:p>
    <w:p w14:paraId="55897A17" w14:textId="77777777" w:rsidR="004D2728" w:rsidRPr="004C3BD1" w:rsidRDefault="004D2728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161DB9B2" w14:textId="77777777" w:rsidR="00170775" w:rsidRPr="004C3BD1" w:rsidRDefault="004D2728" w:rsidP="00170775">
      <w:pPr>
        <w:pStyle w:val="BodyTextIndent"/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 xml:space="preserve">All personnel shall strictly observe all applicable Federal, </w:t>
      </w:r>
      <w:proofErr w:type="gramStart"/>
      <w:r w:rsidRPr="004C3BD1">
        <w:rPr>
          <w:snapToGrid w:val="0"/>
          <w:sz w:val="22"/>
          <w:szCs w:val="22"/>
        </w:rPr>
        <w:t>State</w:t>
      </w:r>
      <w:proofErr w:type="gramEnd"/>
      <w:r w:rsidRPr="004C3BD1">
        <w:rPr>
          <w:snapToGrid w:val="0"/>
          <w:sz w:val="22"/>
          <w:szCs w:val="22"/>
        </w:rPr>
        <w:t xml:space="preserve"> and local laws affecting operations at all sites. </w:t>
      </w:r>
      <w:r w:rsidR="00271F52" w:rsidRPr="004C3BD1">
        <w:rPr>
          <w:snapToGrid w:val="0"/>
          <w:sz w:val="22"/>
          <w:szCs w:val="22"/>
        </w:rPr>
        <w:t xml:space="preserve">The Environmental </w:t>
      </w:r>
      <w:r w:rsidRPr="004C3BD1">
        <w:rPr>
          <w:snapToGrid w:val="0"/>
          <w:sz w:val="22"/>
          <w:szCs w:val="22"/>
        </w:rPr>
        <w:t xml:space="preserve">Firm </w:t>
      </w:r>
      <w:r w:rsidR="00271F52" w:rsidRPr="004C3BD1">
        <w:rPr>
          <w:snapToGrid w:val="0"/>
          <w:sz w:val="22"/>
          <w:szCs w:val="22"/>
        </w:rPr>
        <w:t xml:space="preserve">shall </w:t>
      </w:r>
      <w:r w:rsidRPr="004C3BD1">
        <w:rPr>
          <w:snapToGrid w:val="0"/>
          <w:sz w:val="22"/>
          <w:szCs w:val="22"/>
        </w:rPr>
        <w:t xml:space="preserve">assume full responsibility for the safety </w:t>
      </w:r>
      <w:r w:rsidR="00C602EB">
        <w:rPr>
          <w:snapToGrid w:val="0"/>
          <w:sz w:val="22"/>
          <w:szCs w:val="22"/>
        </w:rPr>
        <w:t>of their</w:t>
      </w:r>
      <w:r w:rsidR="00271F52" w:rsidRPr="004C3BD1">
        <w:rPr>
          <w:snapToGrid w:val="0"/>
          <w:sz w:val="22"/>
          <w:szCs w:val="22"/>
        </w:rPr>
        <w:t xml:space="preserve"> employees, </w:t>
      </w:r>
      <w:r w:rsidRPr="004C3BD1">
        <w:rPr>
          <w:snapToGrid w:val="0"/>
          <w:sz w:val="22"/>
          <w:szCs w:val="22"/>
        </w:rPr>
        <w:t xml:space="preserve">building occupants and the </w:t>
      </w:r>
      <w:proofErr w:type="gramStart"/>
      <w:r w:rsidRPr="004C3BD1">
        <w:rPr>
          <w:snapToGrid w:val="0"/>
          <w:sz w:val="22"/>
          <w:szCs w:val="22"/>
        </w:rPr>
        <w:t>general public</w:t>
      </w:r>
      <w:proofErr w:type="gramEnd"/>
      <w:r w:rsidRPr="004C3BD1">
        <w:rPr>
          <w:snapToGrid w:val="0"/>
          <w:sz w:val="22"/>
          <w:szCs w:val="22"/>
        </w:rPr>
        <w:t xml:space="preserve"> in the performance of </w:t>
      </w:r>
      <w:r w:rsidR="00271F52" w:rsidRPr="004C3BD1">
        <w:rPr>
          <w:snapToGrid w:val="0"/>
          <w:sz w:val="22"/>
          <w:szCs w:val="22"/>
        </w:rPr>
        <w:t xml:space="preserve">any </w:t>
      </w:r>
      <w:r w:rsidRPr="004C3BD1">
        <w:rPr>
          <w:snapToGrid w:val="0"/>
          <w:sz w:val="22"/>
          <w:szCs w:val="22"/>
        </w:rPr>
        <w:t xml:space="preserve">hazardous materials </w:t>
      </w:r>
      <w:r w:rsidR="002F3B54" w:rsidRPr="004C3BD1">
        <w:rPr>
          <w:snapToGrid w:val="0"/>
          <w:sz w:val="22"/>
          <w:szCs w:val="22"/>
        </w:rPr>
        <w:t>investigation</w:t>
      </w:r>
      <w:r w:rsidRPr="004C3BD1">
        <w:rPr>
          <w:snapToGrid w:val="0"/>
          <w:sz w:val="22"/>
          <w:szCs w:val="22"/>
        </w:rPr>
        <w:t xml:space="preserve"> work.</w:t>
      </w:r>
    </w:p>
    <w:p w14:paraId="0D69A660" w14:textId="77777777" w:rsidR="004845DD" w:rsidRPr="004C3BD1" w:rsidRDefault="004845DD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29207A02" w14:textId="77777777" w:rsidR="004845DD" w:rsidRPr="004C3BD1" w:rsidRDefault="004845DD" w:rsidP="004845DD"/>
    <w:p w14:paraId="5DF55CFE" w14:textId="77777777" w:rsidR="004845DD" w:rsidRPr="004C3BD1" w:rsidRDefault="004845DD" w:rsidP="00170775">
      <w:pPr>
        <w:pStyle w:val="BodyTextIndent"/>
        <w:ind w:left="360" w:hanging="360"/>
      </w:pPr>
    </w:p>
    <w:p w14:paraId="28FD53F1" w14:textId="77777777" w:rsidR="004845DD" w:rsidRPr="004C3BD1" w:rsidRDefault="004845DD" w:rsidP="004845DD">
      <w:pPr>
        <w:pStyle w:val="BodyTextIndent"/>
        <w:tabs>
          <w:tab w:val="left" w:pos="1908"/>
        </w:tabs>
        <w:ind w:left="360" w:hanging="360"/>
      </w:pPr>
      <w:r w:rsidRPr="004C3BD1">
        <w:tab/>
      </w:r>
      <w:r w:rsidRPr="004C3BD1">
        <w:tab/>
      </w:r>
    </w:p>
    <w:p w14:paraId="198A0BF6" w14:textId="77777777" w:rsidR="00AD4206" w:rsidRPr="004C3BD1" w:rsidRDefault="00170775" w:rsidP="00170775">
      <w:pPr>
        <w:pStyle w:val="BodyTextIndent"/>
        <w:ind w:left="360" w:hanging="360"/>
        <w:rPr>
          <w:snapToGrid w:val="0"/>
          <w:sz w:val="22"/>
          <w:szCs w:val="22"/>
        </w:rPr>
      </w:pPr>
      <w:r w:rsidRPr="004C3BD1">
        <w:br w:type="page"/>
      </w:r>
      <w:r w:rsidR="007E2038" w:rsidRPr="004C3BD1">
        <w:rPr>
          <w:b/>
          <w:snapToGrid w:val="0"/>
          <w:sz w:val="22"/>
          <w:szCs w:val="22"/>
        </w:rPr>
        <w:lastRenderedPageBreak/>
        <w:t>21</w:t>
      </w:r>
      <w:r w:rsidR="00080EF5" w:rsidRPr="004C3BD1">
        <w:rPr>
          <w:b/>
          <w:snapToGrid w:val="0"/>
          <w:sz w:val="22"/>
          <w:szCs w:val="22"/>
        </w:rPr>
        <w:t>2.4</w:t>
      </w:r>
      <w:r w:rsidR="001C360F" w:rsidRPr="004C3BD1">
        <w:rPr>
          <w:b/>
          <w:snapToGrid w:val="0"/>
          <w:sz w:val="22"/>
          <w:szCs w:val="22"/>
        </w:rPr>
        <w:t xml:space="preserve"> </w:t>
      </w:r>
      <w:r w:rsidR="006349D0" w:rsidRPr="004C3BD1">
        <w:rPr>
          <w:b/>
          <w:snapToGrid w:val="0"/>
          <w:sz w:val="22"/>
          <w:szCs w:val="22"/>
        </w:rPr>
        <w:t>Abatement Plan</w:t>
      </w:r>
      <w:r w:rsidR="002E6D3B" w:rsidRPr="004C3BD1">
        <w:rPr>
          <w:b/>
          <w:snapToGrid w:val="0"/>
          <w:sz w:val="22"/>
          <w:szCs w:val="22"/>
        </w:rPr>
        <w:t xml:space="preserve">: </w:t>
      </w:r>
      <w:r w:rsidR="00A57825" w:rsidRPr="004C3BD1">
        <w:rPr>
          <w:snapToGrid w:val="0"/>
          <w:sz w:val="22"/>
          <w:szCs w:val="22"/>
        </w:rPr>
        <w:t xml:space="preserve">Where hazardous materials have </w:t>
      </w:r>
      <w:r w:rsidR="00AD4206" w:rsidRPr="004C3BD1">
        <w:rPr>
          <w:snapToGrid w:val="0"/>
          <w:sz w:val="22"/>
          <w:szCs w:val="22"/>
        </w:rPr>
        <w:t xml:space="preserve">been identified and quantified, a plan to abate the </w:t>
      </w:r>
      <w:r w:rsidR="001C360F" w:rsidRPr="004C3BD1">
        <w:rPr>
          <w:snapToGrid w:val="0"/>
          <w:sz w:val="22"/>
          <w:szCs w:val="22"/>
        </w:rPr>
        <w:t xml:space="preserve">materials </w:t>
      </w:r>
      <w:r w:rsidR="00AD4206" w:rsidRPr="004C3BD1">
        <w:rPr>
          <w:snapToGrid w:val="0"/>
          <w:sz w:val="22"/>
          <w:szCs w:val="22"/>
        </w:rPr>
        <w:t xml:space="preserve">shall be developed </w:t>
      </w:r>
      <w:r w:rsidR="001C360F" w:rsidRPr="004C3BD1">
        <w:rPr>
          <w:snapToGrid w:val="0"/>
          <w:sz w:val="22"/>
          <w:szCs w:val="22"/>
        </w:rPr>
        <w:t>by the Environmental firm</w:t>
      </w:r>
      <w:r w:rsidR="00AD4206" w:rsidRPr="004C3BD1">
        <w:rPr>
          <w:snapToGrid w:val="0"/>
          <w:sz w:val="22"/>
          <w:szCs w:val="22"/>
        </w:rPr>
        <w:t>.</w:t>
      </w:r>
      <w:r w:rsidR="007F6605" w:rsidRPr="004C3BD1" w:rsidDel="007F6605">
        <w:rPr>
          <w:snapToGrid w:val="0"/>
          <w:sz w:val="22"/>
          <w:szCs w:val="22"/>
        </w:rPr>
        <w:t xml:space="preserve"> </w:t>
      </w:r>
      <w:r w:rsidR="00A57825" w:rsidRPr="004C3BD1">
        <w:rPr>
          <w:snapToGrid w:val="0"/>
          <w:sz w:val="22"/>
          <w:szCs w:val="22"/>
        </w:rPr>
        <w:t>The abatement project may be ac</w:t>
      </w:r>
      <w:r w:rsidR="00AD4206" w:rsidRPr="004C3BD1">
        <w:rPr>
          <w:snapToGrid w:val="0"/>
          <w:sz w:val="22"/>
          <w:szCs w:val="22"/>
        </w:rPr>
        <w:t xml:space="preserve">complished </w:t>
      </w:r>
      <w:r w:rsidR="002E6D3B" w:rsidRPr="004C3BD1">
        <w:rPr>
          <w:snapToGrid w:val="0"/>
          <w:sz w:val="22"/>
          <w:szCs w:val="22"/>
        </w:rPr>
        <w:t xml:space="preserve">using </w:t>
      </w:r>
      <w:r w:rsidR="006349D0" w:rsidRPr="004C3BD1">
        <w:rPr>
          <w:snapToGrid w:val="0"/>
          <w:sz w:val="22"/>
          <w:szCs w:val="22"/>
        </w:rPr>
        <w:t>one of the following methods</w:t>
      </w:r>
      <w:r w:rsidR="00AD4206" w:rsidRPr="004C3BD1">
        <w:rPr>
          <w:snapToGrid w:val="0"/>
          <w:sz w:val="22"/>
          <w:szCs w:val="22"/>
        </w:rPr>
        <w:t>:</w:t>
      </w:r>
    </w:p>
    <w:p w14:paraId="5FF993D0" w14:textId="77777777" w:rsidR="004D2728" w:rsidRPr="004C3BD1" w:rsidRDefault="004D2728" w:rsidP="00170775">
      <w:pPr>
        <w:pStyle w:val="BodyTextIndent"/>
        <w:ind w:left="360" w:hanging="360"/>
        <w:rPr>
          <w:snapToGrid w:val="0"/>
          <w:sz w:val="22"/>
          <w:szCs w:val="22"/>
        </w:rPr>
      </w:pPr>
    </w:p>
    <w:p w14:paraId="04A87C4A" w14:textId="77777777" w:rsidR="00AD4206" w:rsidRPr="004C3BD1" w:rsidRDefault="00AD4206" w:rsidP="00170775">
      <w:pPr>
        <w:pStyle w:val="BodyTextIndent"/>
        <w:numPr>
          <w:ilvl w:val="0"/>
          <w:numId w:val="13"/>
        </w:numPr>
        <w:ind w:left="108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>Separate abatement contract</w:t>
      </w:r>
    </w:p>
    <w:p w14:paraId="4EB4E1AC" w14:textId="77777777" w:rsidR="00AD4206" w:rsidRPr="004C3BD1" w:rsidRDefault="00AD4206" w:rsidP="00170775">
      <w:pPr>
        <w:pStyle w:val="BodyTextIndent"/>
        <w:numPr>
          <w:ilvl w:val="0"/>
          <w:numId w:val="13"/>
        </w:numPr>
        <w:ind w:left="108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>Part</w:t>
      </w:r>
      <w:r w:rsidR="00A57825" w:rsidRPr="004C3BD1">
        <w:rPr>
          <w:snapToGrid w:val="0"/>
          <w:sz w:val="22"/>
          <w:szCs w:val="22"/>
        </w:rPr>
        <w:t xml:space="preserve"> of </w:t>
      </w:r>
      <w:r w:rsidRPr="004C3BD1">
        <w:rPr>
          <w:snapToGrid w:val="0"/>
          <w:sz w:val="22"/>
          <w:szCs w:val="22"/>
        </w:rPr>
        <w:t xml:space="preserve">a general construction project </w:t>
      </w:r>
    </w:p>
    <w:p w14:paraId="0C426592" w14:textId="77777777" w:rsidR="00AD4206" w:rsidRPr="004C3BD1" w:rsidRDefault="00AD4206" w:rsidP="00170775">
      <w:pPr>
        <w:pStyle w:val="BodyTextIndent"/>
        <w:ind w:left="1080" w:hanging="360"/>
        <w:rPr>
          <w:snapToGrid w:val="0"/>
          <w:sz w:val="22"/>
          <w:szCs w:val="22"/>
        </w:rPr>
      </w:pPr>
    </w:p>
    <w:p w14:paraId="6A3F3C99" w14:textId="77777777" w:rsidR="00A57825" w:rsidRPr="004C3BD1" w:rsidRDefault="00AD4206" w:rsidP="00170775">
      <w:pPr>
        <w:pStyle w:val="BodyTextIndent"/>
        <w:ind w:left="360"/>
        <w:rPr>
          <w:snapToGrid w:val="0"/>
          <w:sz w:val="22"/>
          <w:szCs w:val="22"/>
        </w:rPr>
      </w:pPr>
      <w:r w:rsidRPr="004C3BD1">
        <w:rPr>
          <w:snapToGrid w:val="0"/>
          <w:sz w:val="22"/>
          <w:szCs w:val="22"/>
        </w:rPr>
        <w:t>The</w:t>
      </w:r>
      <w:r w:rsidR="00A57825" w:rsidRPr="004C3BD1">
        <w:rPr>
          <w:snapToGrid w:val="0"/>
          <w:sz w:val="22"/>
          <w:szCs w:val="22"/>
        </w:rPr>
        <w:t xml:space="preserve"> </w:t>
      </w:r>
      <w:r w:rsidR="00EE1A2A" w:rsidRPr="004C3BD1">
        <w:rPr>
          <w:snapToGrid w:val="0"/>
          <w:sz w:val="22"/>
          <w:szCs w:val="22"/>
        </w:rPr>
        <w:t>Executive Director of Public Safety and Risk Management</w:t>
      </w:r>
      <w:r w:rsidRPr="004C3BD1">
        <w:rPr>
          <w:snapToGrid w:val="0"/>
          <w:sz w:val="22"/>
          <w:szCs w:val="22"/>
        </w:rPr>
        <w:t xml:space="preserve"> and the Project Manager</w:t>
      </w:r>
      <w:r w:rsidR="00A57825" w:rsidRPr="004C3BD1">
        <w:rPr>
          <w:snapToGrid w:val="0"/>
          <w:sz w:val="22"/>
          <w:szCs w:val="22"/>
        </w:rPr>
        <w:t xml:space="preserve"> will </w:t>
      </w:r>
      <w:r w:rsidR="002E6D3B" w:rsidRPr="004C3BD1">
        <w:rPr>
          <w:snapToGrid w:val="0"/>
          <w:sz w:val="22"/>
          <w:szCs w:val="22"/>
        </w:rPr>
        <w:t>determine</w:t>
      </w:r>
      <w:r w:rsidR="00A57825" w:rsidRPr="004C3BD1">
        <w:rPr>
          <w:snapToGrid w:val="0"/>
          <w:sz w:val="22"/>
          <w:szCs w:val="22"/>
        </w:rPr>
        <w:t xml:space="preserve"> which method is to be used.</w:t>
      </w:r>
      <w:r w:rsidR="002E6D3B" w:rsidRPr="004C3BD1">
        <w:rPr>
          <w:snapToGrid w:val="0"/>
          <w:sz w:val="22"/>
          <w:szCs w:val="22"/>
        </w:rPr>
        <w:t xml:space="preserve"> </w:t>
      </w:r>
      <w:r w:rsidR="00A57825" w:rsidRPr="004C3BD1">
        <w:rPr>
          <w:snapToGrid w:val="0"/>
          <w:sz w:val="22"/>
          <w:szCs w:val="22"/>
        </w:rPr>
        <w:t xml:space="preserve">In some </w:t>
      </w:r>
      <w:proofErr w:type="gramStart"/>
      <w:r w:rsidR="00A57825" w:rsidRPr="004C3BD1">
        <w:rPr>
          <w:snapToGrid w:val="0"/>
          <w:sz w:val="22"/>
          <w:szCs w:val="22"/>
        </w:rPr>
        <w:t>instances</w:t>
      </w:r>
      <w:proofErr w:type="gramEnd"/>
      <w:r w:rsidR="00A57825" w:rsidRPr="004C3BD1">
        <w:rPr>
          <w:snapToGrid w:val="0"/>
          <w:sz w:val="22"/>
          <w:szCs w:val="22"/>
        </w:rPr>
        <w:t xml:space="preserve"> it may be more prudent to contain </w:t>
      </w:r>
      <w:r w:rsidR="006349D0" w:rsidRPr="004C3BD1">
        <w:rPr>
          <w:snapToGrid w:val="0"/>
          <w:sz w:val="22"/>
          <w:szCs w:val="22"/>
        </w:rPr>
        <w:t xml:space="preserve">or encapsulate </w:t>
      </w:r>
      <w:r w:rsidR="00A57825" w:rsidRPr="004C3BD1">
        <w:rPr>
          <w:snapToGrid w:val="0"/>
          <w:sz w:val="22"/>
          <w:szCs w:val="22"/>
        </w:rPr>
        <w:t>hazardous material</w:t>
      </w:r>
      <w:r w:rsidR="006349D0" w:rsidRPr="004C3BD1">
        <w:rPr>
          <w:snapToGrid w:val="0"/>
          <w:sz w:val="22"/>
          <w:szCs w:val="22"/>
        </w:rPr>
        <w:t>s</w:t>
      </w:r>
      <w:r w:rsidR="00A57825" w:rsidRPr="004C3BD1">
        <w:rPr>
          <w:snapToGrid w:val="0"/>
          <w:sz w:val="22"/>
          <w:szCs w:val="22"/>
        </w:rPr>
        <w:t xml:space="preserve"> rather than </w:t>
      </w:r>
      <w:r w:rsidR="006349D0" w:rsidRPr="004C3BD1">
        <w:rPr>
          <w:snapToGrid w:val="0"/>
          <w:sz w:val="22"/>
          <w:szCs w:val="22"/>
        </w:rPr>
        <w:t>abate them</w:t>
      </w:r>
      <w:r w:rsidR="002F3B54" w:rsidRPr="004C3BD1">
        <w:rPr>
          <w:snapToGrid w:val="0"/>
          <w:sz w:val="22"/>
          <w:szCs w:val="22"/>
        </w:rPr>
        <w:t>.</w:t>
      </w:r>
      <w:r w:rsidR="00A57825" w:rsidRPr="004C3BD1">
        <w:rPr>
          <w:snapToGrid w:val="0"/>
          <w:sz w:val="22"/>
          <w:szCs w:val="22"/>
        </w:rPr>
        <w:t xml:space="preserve"> </w:t>
      </w:r>
      <w:r w:rsidR="006349D0" w:rsidRPr="004C3BD1">
        <w:rPr>
          <w:snapToGrid w:val="0"/>
          <w:sz w:val="22"/>
          <w:szCs w:val="22"/>
        </w:rPr>
        <w:t xml:space="preserve">The </w:t>
      </w:r>
      <w:r w:rsidR="00EE1A2A" w:rsidRPr="004C3BD1">
        <w:rPr>
          <w:snapToGrid w:val="0"/>
          <w:sz w:val="22"/>
          <w:szCs w:val="22"/>
        </w:rPr>
        <w:t>Executive Director of Public Safety and Risk Management</w:t>
      </w:r>
      <w:r w:rsidR="006349D0" w:rsidRPr="004C3BD1">
        <w:rPr>
          <w:snapToGrid w:val="0"/>
          <w:sz w:val="22"/>
          <w:szCs w:val="22"/>
        </w:rPr>
        <w:t xml:space="preserve"> and the Project Manager will make the determination </w:t>
      </w:r>
      <w:r w:rsidR="002E6D3B" w:rsidRPr="004C3BD1">
        <w:rPr>
          <w:snapToGrid w:val="0"/>
          <w:sz w:val="22"/>
          <w:szCs w:val="22"/>
        </w:rPr>
        <w:t xml:space="preserve">as to </w:t>
      </w:r>
      <w:r w:rsidR="006349D0" w:rsidRPr="004C3BD1">
        <w:rPr>
          <w:snapToGrid w:val="0"/>
          <w:sz w:val="22"/>
          <w:szCs w:val="22"/>
        </w:rPr>
        <w:t>whether to contain, encapsulate or abate the materials.</w:t>
      </w:r>
    </w:p>
    <w:p w14:paraId="17049A04" w14:textId="77777777" w:rsidR="00170775" w:rsidRPr="004C3BD1" w:rsidRDefault="00170775" w:rsidP="00170775">
      <w:pPr>
        <w:pStyle w:val="BodyTextIndent"/>
        <w:ind w:left="360"/>
        <w:rPr>
          <w:snapToGrid w:val="0"/>
          <w:sz w:val="22"/>
          <w:szCs w:val="22"/>
        </w:rPr>
      </w:pPr>
    </w:p>
    <w:p w14:paraId="26955C87" w14:textId="77777777" w:rsidR="00A57825" w:rsidRPr="000A4D63" w:rsidRDefault="007E2038" w:rsidP="00170775">
      <w:pPr>
        <w:pStyle w:val="BodyTextIndent"/>
        <w:ind w:left="360" w:hanging="360"/>
        <w:rPr>
          <w:snapToGrid w:val="0"/>
          <w:sz w:val="22"/>
          <w:szCs w:val="22"/>
        </w:rPr>
      </w:pPr>
      <w:r w:rsidRPr="004C3BD1">
        <w:rPr>
          <w:b/>
          <w:snapToGrid w:val="0"/>
          <w:sz w:val="22"/>
          <w:szCs w:val="22"/>
        </w:rPr>
        <w:t>21</w:t>
      </w:r>
      <w:r w:rsidR="00080EF5" w:rsidRPr="004C3BD1">
        <w:rPr>
          <w:b/>
          <w:snapToGrid w:val="0"/>
          <w:sz w:val="22"/>
          <w:szCs w:val="22"/>
        </w:rPr>
        <w:t>2.5</w:t>
      </w:r>
      <w:r w:rsidR="006C5EDC" w:rsidRPr="004C3BD1">
        <w:rPr>
          <w:b/>
          <w:snapToGrid w:val="0"/>
          <w:sz w:val="22"/>
          <w:szCs w:val="22"/>
        </w:rPr>
        <w:t xml:space="preserve"> Abatement</w:t>
      </w:r>
      <w:r w:rsidR="002E6D3B" w:rsidRPr="004C3BD1">
        <w:rPr>
          <w:b/>
          <w:snapToGrid w:val="0"/>
          <w:sz w:val="22"/>
          <w:szCs w:val="22"/>
        </w:rPr>
        <w:t xml:space="preserve">: </w:t>
      </w:r>
      <w:r w:rsidR="00A57825" w:rsidRPr="004C3BD1">
        <w:rPr>
          <w:snapToGrid w:val="0"/>
          <w:sz w:val="22"/>
          <w:szCs w:val="22"/>
        </w:rPr>
        <w:t xml:space="preserve">The abatement project shall be conducted in compliance with all applicable laws and regulations. </w:t>
      </w:r>
      <w:r w:rsidR="00960E54" w:rsidRPr="004C3BD1">
        <w:rPr>
          <w:snapToGrid w:val="0"/>
          <w:sz w:val="22"/>
          <w:szCs w:val="22"/>
        </w:rPr>
        <w:t xml:space="preserve">The abatement contractor shall have a contractor license certified by the Division of Air Quality. </w:t>
      </w:r>
      <w:r w:rsidR="006C5EDC" w:rsidRPr="004C3BD1">
        <w:rPr>
          <w:snapToGrid w:val="0"/>
          <w:sz w:val="22"/>
          <w:szCs w:val="22"/>
        </w:rPr>
        <w:t xml:space="preserve">The </w:t>
      </w:r>
      <w:r w:rsidR="002E6D3B" w:rsidRPr="004C3BD1">
        <w:rPr>
          <w:snapToGrid w:val="0"/>
          <w:sz w:val="22"/>
          <w:szCs w:val="22"/>
        </w:rPr>
        <w:t xml:space="preserve">abatement contractor </w:t>
      </w:r>
      <w:r w:rsidR="006C5EDC" w:rsidRPr="004C3BD1">
        <w:rPr>
          <w:snapToGrid w:val="0"/>
          <w:sz w:val="22"/>
          <w:szCs w:val="22"/>
        </w:rPr>
        <w:t>must notify the Division of Air Quality not less than 10 calendar days prior to start of abatement work.</w:t>
      </w:r>
      <w:r w:rsidR="00271F52" w:rsidRPr="004C3BD1">
        <w:rPr>
          <w:snapToGrid w:val="0"/>
          <w:sz w:val="22"/>
          <w:szCs w:val="22"/>
        </w:rPr>
        <w:t xml:space="preserve"> </w:t>
      </w:r>
      <w:r w:rsidR="00A57825" w:rsidRPr="004C3BD1">
        <w:rPr>
          <w:snapToGrid w:val="0"/>
          <w:sz w:val="22"/>
          <w:szCs w:val="22"/>
        </w:rPr>
        <w:t xml:space="preserve">Some local jurisdictions have more stringent criteria and certifications required in their locale. </w:t>
      </w:r>
      <w:r w:rsidR="00271F52" w:rsidRPr="004C3BD1">
        <w:rPr>
          <w:snapToGrid w:val="0"/>
          <w:sz w:val="22"/>
          <w:szCs w:val="22"/>
        </w:rPr>
        <w:t>The Environmental firm shall monitor the project to ensure compliance.</w:t>
      </w:r>
    </w:p>
    <w:p w14:paraId="4B0B6F0C" w14:textId="77777777" w:rsidR="00126C39" w:rsidRDefault="00126C39" w:rsidP="00170775">
      <w:pPr>
        <w:ind w:left="360" w:hanging="360"/>
        <w:rPr>
          <w:b/>
          <w:sz w:val="28"/>
          <w:szCs w:val="28"/>
        </w:rPr>
      </w:pPr>
    </w:p>
    <w:p w14:paraId="10B00E8E" w14:textId="77777777" w:rsidR="00126C39" w:rsidRPr="007F16AE" w:rsidRDefault="00126C39" w:rsidP="00170775">
      <w:pPr>
        <w:ind w:left="360"/>
        <w:rPr>
          <w:spacing w:val="0"/>
          <w:sz w:val="22"/>
          <w:szCs w:val="22"/>
        </w:rPr>
      </w:pPr>
    </w:p>
    <w:sectPr w:rsidR="00126C39" w:rsidRPr="007F16AE" w:rsidSect="00D55C95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98D" w14:textId="77777777" w:rsidR="0097384D" w:rsidRDefault="0097384D">
      <w:r>
        <w:separator/>
      </w:r>
    </w:p>
  </w:endnote>
  <w:endnote w:type="continuationSeparator" w:id="0">
    <w:p w14:paraId="5B3CBE9E" w14:textId="77777777" w:rsidR="0097384D" w:rsidRDefault="0097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A82A" w14:textId="4DD50A6D" w:rsidR="007A64C9" w:rsidRDefault="007A64C9" w:rsidP="00B33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E71F3">
      <w:rPr>
        <w:rStyle w:val="PageNumber"/>
      </w:rPr>
      <w:fldChar w:fldCharType="separate"/>
    </w:r>
    <w:r w:rsidR="00BE71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B2813" w14:textId="77777777" w:rsidR="007A64C9" w:rsidRDefault="007A64C9" w:rsidP="00522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B3D4" w14:textId="77777777" w:rsidR="007A64C9" w:rsidRDefault="007A64C9" w:rsidP="00E6459C">
    <w:pPr>
      <w:pStyle w:val="Footer"/>
      <w:framePr w:w="1411" w:wrap="around" w:vAnchor="text" w:hAnchor="page" w:x="9361" w:y="206"/>
      <w:jc w:val="right"/>
      <w:rPr>
        <w:rStyle w:val="PageNumber"/>
      </w:rPr>
    </w:pPr>
    <w:r>
      <w:rPr>
        <w:rStyle w:val="PageNumber"/>
      </w:rPr>
      <w:t>21</w:t>
    </w:r>
    <w:r w:rsidR="00145377">
      <w:rPr>
        <w:rStyle w:val="PageNumber"/>
      </w:rPr>
      <w:t>2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C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2A781" w14:textId="77777777" w:rsidR="007A64C9" w:rsidRDefault="007A64C9" w:rsidP="00522106">
    <w:pPr>
      <w:pStyle w:val="Footer"/>
      <w:ind w:right="360"/>
    </w:pPr>
  </w:p>
  <w:p w14:paraId="17FD8E6C" w14:textId="5D677AE8" w:rsidR="007A64C9" w:rsidRDefault="00B30578">
    <w:pPr>
      <w:pStyle w:val="Footer"/>
    </w:pPr>
    <w:r>
      <w:rPr>
        <w:bCs/>
        <w:snapToGrid w:val="0"/>
      </w:rPr>
      <w:t>21</w:t>
    </w:r>
    <w:r w:rsidR="00080EF5">
      <w:rPr>
        <w:bCs/>
        <w:snapToGrid w:val="0"/>
      </w:rPr>
      <w:t>2</w:t>
    </w:r>
    <w:r>
      <w:rPr>
        <w:bCs/>
        <w:snapToGrid w:val="0"/>
      </w:rPr>
      <w:t xml:space="preserve"> </w:t>
    </w:r>
    <w:r w:rsidR="007A64C9">
      <w:rPr>
        <w:bCs/>
        <w:snapToGrid w:val="0"/>
      </w:rPr>
      <w:t>Hazardous Materials</w:t>
    </w:r>
    <w:r w:rsidR="00C52880">
      <w:t xml:space="preserve"> – </w:t>
    </w:r>
    <w:r w:rsidR="00BE71F3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2657" w14:textId="77777777" w:rsidR="0097384D" w:rsidRDefault="0097384D">
      <w:r>
        <w:separator/>
      </w:r>
    </w:p>
  </w:footnote>
  <w:footnote w:type="continuationSeparator" w:id="0">
    <w:p w14:paraId="194B3B63" w14:textId="77777777" w:rsidR="0097384D" w:rsidRDefault="0097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D64"/>
    <w:multiLevelType w:val="hybridMultilevel"/>
    <w:tmpl w:val="5AFAC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5584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1A39367B"/>
    <w:multiLevelType w:val="hybridMultilevel"/>
    <w:tmpl w:val="A7C25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0C9"/>
    <w:multiLevelType w:val="hybridMultilevel"/>
    <w:tmpl w:val="9B76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B37C0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5" w15:restartNumberingAfterBreak="0">
    <w:nsid w:val="27D666B5"/>
    <w:multiLevelType w:val="hybridMultilevel"/>
    <w:tmpl w:val="E3DA9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C3360"/>
    <w:multiLevelType w:val="hybridMultilevel"/>
    <w:tmpl w:val="2BAA5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062C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8" w15:restartNumberingAfterBreak="0">
    <w:nsid w:val="42AA430A"/>
    <w:multiLevelType w:val="hybridMultilevel"/>
    <w:tmpl w:val="4AA0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86966"/>
    <w:multiLevelType w:val="hybridMultilevel"/>
    <w:tmpl w:val="8F8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656E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1" w15:restartNumberingAfterBreak="0">
    <w:nsid w:val="5D2A4DE3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12" w15:restartNumberingAfterBreak="0">
    <w:nsid w:val="77F9709C"/>
    <w:multiLevelType w:val="hybridMultilevel"/>
    <w:tmpl w:val="CFE62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337844">
    <w:abstractNumId w:val="4"/>
  </w:num>
  <w:num w:numId="2" w16cid:durableId="2132279330">
    <w:abstractNumId w:val="0"/>
  </w:num>
  <w:num w:numId="3" w16cid:durableId="721490089">
    <w:abstractNumId w:val="1"/>
  </w:num>
  <w:num w:numId="4" w16cid:durableId="994333848">
    <w:abstractNumId w:val="5"/>
  </w:num>
  <w:num w:numId="5" w16cid:durableId="1341348236">
    <w:abstractNumId w:val="7"/>
  </w:num>
  <w:num w:numId="6" w16cid:durableId="2063094750">
    <w:abstractNumId w:val="3"/>
  </w:num>
  <w:num w:numId="7" w16cid:durableId="1791051465">
    <w:abstractNumId w:val="11"/>
  </w:num>
  <w:num w:numId="8" w16cid:durableId="45107501">
    <w:abstractNumId w:val="8"/>
  </w:num>
  <w:num w:numId="9" w16cid:durableId="1192837405">
    <w:abstractNumId w:val="10"/>
  </w:num>
  <w:num w:numId="10" w16cid:durableId="1898202702">
    <w:abstractNumId w:val="12"/>
  </w:num>
  <w:num w:numId="11" w16cid:durableId="531722983">
    <w:abstractNumId w:val="6"/>
  </w:num>
  <w:num w:numId="12" w16cid:durableId="908032169">
    <w:abstractNumId w:val="2"/>
  </w:num>
  <w:num w:numId="13" w16cid:durableId="1734812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10928"/>
    <w:rsid w:val="00013BDA"/>
    <w:rsid w:val="00040C03"/>
    <w:rsid w:val="00040C42"/>
    <w:rsid w:val="00080EF5"/>
    <w:rsid w:val="00081626"/>
    <w:rsid w:val="000A3561"/>
    <w:rsid w:val="000A4D63"/>
    <w:rsid w:val="000D0655"/>
    <w:rsid w:val="000D68C7"/>
    <w:rsid w:val="000D7E44"/>
    <w:rsid w:val="000E7030"/>
    <w:rsid w:val="000F1B49"/>
    <w:rsid w:val="00104FB0"/>
    <w:rsid w:val="00126C39"/>
    <w:rsid w:val="001276DA"/>
    <w:rsid w:val="00145377"/>
    <w:rsid w:val="00170775"/>
    <w:rsid w:val="001730EA"/>
    <w:rsid w:val="00173194"/>
    <w:rsid w:val="00185C32"/>
    <w:rsid w:val="001A1355"/>
    <w:rsid w:val="001B252D"/>
    <w:rsid w:val="001C360F"/>
    <w:rsid w:val="001C4B89"/>
    <w:rsid w:val="001C6FFF"/>
    <w:rsid w:val="001D2B2B"/>
    <w:rsid w:val="001E1BF0"/>
    <w:rsid w:val="001E7407"/>
    <w:rsid w:val="002020E3"/>
    <w:rsid w:val="00232045"/>
    <w:rsid w:val="0023741D"/>
    <w:rsid w:val="00242023"/>
    <w:rsid w:val="00271F52"/>
    <w:rsid w:val="00292B8B"/>
    <w:rsid w:val="002A704F"/>
    <w:rsid w:val="002B6A3E"/>
    <w:rsid w:val="002C12A8"/>
    <w:rsid w:val="002D0123"/>
    <w:rsid w:val="002D0CDA"/>
    <w:rsid w:val="002E6D3B"/>
    <w:rsid w:val="002F2204"/>
    <w:rsid w:val="002F3B54"/>
    <w:rsid w:val="002F6F0B"/>
    <w:rsid w:val="00314429"/>
    <w:rsid w:val="00333C75"/>
    <w:rsid w:val="003349B8"/>
    <w:rsid w:val="00334C7D"/>
    <w:rsid w:val="00350C17"/>
    <w:rsid w:val="0036747B"/>
    <w:rsid w:val="003C6136"/>
    <w:rsid w:val="003D1B8A"/>
    <w:rsid w:val="00433CE5"/>
    <w:rsid w:val="00460522"/>
    <w:rsid w:val="00473D13"/>
    <w:rsid w:val="004845DD"/>
    <w:rsid w:val="00492B34"/>
    <w:rsid w:val="00493F58"/>
    <w:rsid w:val="004C0BEC"/>
    <w:rsid w:val="004C3BD1"/>
    <w:rsid w:val="004D2728"/>
    <w:rsid w:val="004E5E14"/>
    <w:rsid w:val="0051218E"/>
    <w:rsid w:val="00517A50"/>
    <w:rsid w:val="005215F9"/>
    <w:rsid w:val="00522106"/>
    <w:rsid w:val="00532C4B"/>
    <w:rsid w:val="00544C36"/>
    <w:rsid w:val="005600E0"/>
    <w:rsid w:val="005929A6"/>
    <w:rsid w:val="005A6A95"/>
    <w:rsid w:val="005C2F04"/>
    <w:rsid w:val="005D584B"/>
    <w:rsid w:val="005D5A1E"/>
    <w:rsid w:val="005D756A"/>
    <w:rsid w:val="005D794E"/>
    <w:rsid w:val="005F5631"/>
    <w:rsid w:val="00622E47"/>
    <w:rsid w:val="006349D0"/>
    <w:rsid w:val="006555A1"/>
    <w:rsid w:val="006564B4"/>
    <w:rsid w:val="00683952"/>
    <w:rsid w:val="006948F0"/>
    <w:rsid w:val="006B0A7E"/>
    <w:rsid w:val="006C2898"/>
    <w:rsid w:val="006C5EDC"/>
    <w:rsid w:val="006E6E9D"/>
    <w:rsid w:val="007738F5"/>
    <w:rsid w:val="007A64C9"/>
    <w:rsid w:val="007B1342"/>
    <w:rsid w:val="007C1A09"/>
    <w:rsid w:val="007C442A"/>
    <w:rsid w:val="007D76B0"/>
    <w:rsid w:val="007E1223"/>
    <w:rsid w:val="007E2038"/>
    <w:rsid w:val="007F6605"/>
    <w:rsid w:val="0082092B"/>
    <w:rsid w:val="00820DAB"/>
    <w:rsid w:val="008370A7"/>
    <w:rsid w:val="00837C40"/>
    <w:rsid w:val="0085426D"/>
    <w:rsid w:val="00870540"/>
    <w:rsid w:val="008A2298"/>
    <w:rsid w:val="008A75BD"/>
    <w:rsid w:val="008C0028"/>
    <w:rsid w:val="008E38CE"/>
    <w:rsid w:val="008E4F78"/>
    <w:rsid w:val="008F7FCF"/>
    <w:rsid w:val="00940371"/>
    <w:rsid w:val="0094421F"/>
    <w:rsid w:val="00945449"/>
    <w:rsid w:val="00960E54"/>
    <w:rsid w:val="0096668B"/>
    <w:rsid w:val="0097384D"/>
    <w:rsid w:val="009A3E54"/>
    <w:rsid w:val="009A563D"/>
    <w:rsid w:val="009D7A69"/>
    <w:rsid w:val="009F0120"/>
    <w:rsid w:val="009F2D71"/>
    <w:rsid w:val="00A052EE"/>
    <w:rsid w:val="00A13655"/>
    <w:rsid w:val="00A57825"/>
    <w:rsid w:val="00A80886"/>
    <w:rsid w:val="00A96218"/>
    <w:rsid w:val="00AB7637"/>
    <w:rsid w:val="00AD3426"/>
    <w:rsid w:val="00AD4206"/>
    <w:rsid w:val="00B17642"/>
    <w:rsid w:val="00B30578"/>
    <w:rsid w:val="00B33B88"/>
    <w:rsid w:val="00B42305"/>
    <w:rsid w:val="00B45A27"/>
    <w:rsid w:val="00BA19D9"/>
    <w:rsid w:val="00BC2B1B"/>
    <w:rsid w:val="00BC6147"/>
    <w:rsid w:val="00BE6287"/>
    <w:rsid w:val="00BE71F3"/>
    <w:rsid w:val="00C05F06"/>
    <w:rsid w:val="00C14FA6"/>
    <w:rsid w:val="00C25FE1"/>
    <w:rsid w:val="00C4179E"/>
    <w:rsid w:val="00C4625A"/>
    <w:rsid w:val="00C52880"/>
    <w:rsid w:val="00C602EB"/>
    <w:rsid w:val="00C62DB0"/>
    <w:rsid w:val="00C63E8D"/>
    <w:rsid w:val="00C703D5"/>
    <w:rsid w:val="00C710AD"/>
    <w:rsid w:val="00C77485"/>
    <w:rsid w:val="00CA6847"/>
    <w:rsid w:val="00CB6FD3"/>
    <w:rsid w:val="00CC5C70"/>
    <w:rsid w:val="00CC7A3A"/>
    <w:rsid w:val="00CE28B1"/>
    <w:rsid w:val="00CF2804"/>
    <w:rsid w:val="00CF6819"/>
    <w:rsid w:val="00D011B6"/>
    <w:rsid w:val="00D01CDB"/>
    <w:rsid w:val="00D0337B"/>
    <w:rsid w:val="00D16A76"/>
    <w:rsid w:val="00D4141A"/>
    <w:rsid w:val="00D55C95"/>
    <w:rsid w:val="00D718F7"/>
    <w:rsid w:val="00D75B6B"/>
    <w:rsid w:val="00DA1118"/>
    <w:rsid w:val="00DF4AC7"/>
    <w:rsid w:val="00E24044"/>
    <w:rsid w:val="00E60A75"/>
    <w:rsid w:val="00E6459C"/>
    <w:rsid w:val="00E9023C"/>
    <w:rsid w:val="00EC3D0A"/>
    <w:rsid w:val="00EE1A2A"/>
    <w:rsid w:val="00EE4A82"/>
    <w:rsid w:val="00F24DD6"/>
    <w:rsid w:val="00F406A1"/>
    <w:rsid w:val="00F7490C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8998DE7"/>
  <w15:chartTrackingRefBased/>
  <w15:docId w15:val="{C12DA191-B70C-416E-90EA-021CC1F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C7D"/>
    <w:pPr>
      <w:jc w:val="both"/>
    </w:pPr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106"/>
  </w:style>
  <w:style w:type="paragraph" w:styleId="BodyTextIndent">
    <w:name w:val="Body Text Indent"/>
    <w:basedOn w:val="Normal"/>
    <w:rsid w:val="00B17642"/>
    <w:rPr>
      <w:sz w:val="24"/>
      <w:szCs w:val="24"/>
    </w:rPr>
  </w:style>
  <w:style w:type="character" w:styleId="CommentReference">
    <w:name w:val="annotation reference"/>
    <w:rsid w:val="0053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C4B"/>
  </w:style>
  <w:style w:type="character" w:customStyle="1" w:styleId="CommentTextChar">
    <w:name w:val="Comment Text Char"/>
    <w:link w:val="CommentText"/>
    <w:rsid w:val="00532C4B"/>
    <w:rPr>
      <w:rFonts w:ascii="Arial" w:hAnsi="Arial" w:cs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532C4B"/>
    <w:rPr>
      <w:b/>
      <w:bCs/>
    </w:rPr>
  </w:style>
  <w:style w:type="character" w:customStyle="1" w:styleId="CommentSubjectChar">
    <w:name w:val="Comment Subject Char"/>
    <w:link w:val="CommentSubject"/>
    <w:rsid w:val="00532C4B"/>
    <w:rPr>
      <w:rFonts w:ascii="Arial" w:hAnsi="Arial" w:cs="Arial"/>
      <w:b/>
      <w:bCs/>
      <w:spacing w:val="-5"/>
    </w:rPr>
  </w:style>
  <w:style w:type="paragraph" w:styleId="BalloonText">
    <w:name w:val="Balloon Text"/>
    <w:basedOn w:val="Normal"/>
    <w:link w:val="BalloonTextChar"/>
    <w:rsid w:val="0053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C4B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10E4-920E-41C5-BCBF-9AAF625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Process Overview</vt:lpstr>
    </vt:vector>
  </TitlesOfParts>
  <Company>EOP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Process Overview</dc:title>
  <dc:subject/>
  <dc:creator>Richard Polk;JR Meyer</dc:creator>
  <cp:keywords/>
  <cp:lastModifiedBy>Reeves, Ellen</cp:lastModifiedBy>
  <cp:revision>3</cp:revision>
  <cp:lastPrinted>2013-02-14T21:39:00Z</cp:lastPrinted>
  <dcterms:created xsi:type="dcterms:W3CDTF">2018-03-22T15:25:00Z</dcterms:created>
  <dcterms:modified xsi:type="dcterms:W3CDTF">2023-01-31T22:27:00Z</dcterms:modified>
</cp:coreProperties>
</file>