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D724" w14:textId="77777777" w:rsidR="00BB37EB" w:rsidRDefault="00BB37EB" w:rsidP="00237B5A">
      <w:pPr>
        <w:spacing w:after="120"/>
        <w:ind w:left="360" w:hanging="360"/>
        <w:rPr>
          <w:b/>
          <w:sz w:val="22"/>
          <w:szCs w:val="22"/>
        </w:rPr>
      </w:pPr>
      <w:r w:rsidRPr="009774A9">
        <w:rPr>
          <w:b/>
          <w:sz w:val="28"/>
          <w:szCs w:val="22"/>
        </w:rPr>
        <w:t>214</w:t>
      </w:r>
      <w:r w:rsidR="007B3871">
        <w:rPr>
          <w:b/>
          <w:sz w:val="28"/>
          <w:szCs w:val="22"/>
        </w:rPr>
        <w:t xml:space="preserve"> </w:t>
      </w:r>
      <w:r w:rsidRPr="009774A9">
        <w:rPr>
          <w:b/>
          <w:sz w:val="28"/>
          <w:szCs w:val="22"/>
        </w:rPr>
        <w:t xml:space="preserve">Federal </w:t>
      </w:r>
      <w:r w:rsidR="00B26745">
        <w:rPr>
          <w:b/>
          <w:sz w:val="28"/>
          <w:szCs w:val="22"/>
        </w:rPr>
        <w:t xml:space="preserve">Environmental </w:t>
      </w:r>
      <w:r w:rsidRPr="009774A9">
        <w:rPr>
          <w:b/>
          <w:sz w:val="28"/>
          <w:szCs w:val="22"/>
        </w:rPr>
        <w:t>Laws</w:t>
      </w:r>
    </w:p>
    <w:p w14:paraId="13E220E6" w14:textId="77777777" w:rsidR="00BB37EB" w:rsidRDefault="00BB37EB" w:rsidP="00723B0F">
      <w:pPr>
        <w:ind w:left="360" w:hanging="360"/>
        <w:rPr>
          <w:b/>
          <w:sz w:val="22"/>
          <w:szCs w:val="22"/>
        </w:rPr>
      </w:pPr>
    </w:p>
    <w:p w14:paraId="6514E076" w14:textId="77777777" w:rsidR="00B82A1E" w:rsidRDefault="00FA019D" w:rsidP="009774A9">
      <w:pPr>
        <w:spacing w:after="120"/>
        <w:rPr>
          <w:sz w:val="22"/>
          <w:szCs w:val="22"/>
        </w:rPr>
      </w:pPr>
      <w:r>
        <w:rPr>
          <w:sz w:val="22"/>
          <w:szCs w:val="22"/>
        </w:rPr>
        <w:t xml:space="preserve">Federal laws require government approval prior to beginning any work in or over </w:t>
      </w:r>
      <w:r w:rsidR="00B94CEA">
        <w:rPr>
          <w:sz w:val="22"/>
          <w:szCs w:val="22"/>
        </w:rPr>
        <w:t xml:space="preserve">“Waters </w:t>
      </w:r>
      <w:r>
        <w:rPr>
          <w:sz w:val="22"/>
          <w:szCs w:val="22"/>
        </w:rPr>
        <w:t>of the United States</w:t>
      </w:r>
      <w:r w:rsidR="00B94CEA">
        <w:rPr>
          <w:sz w:val="22"/>
          <w:szCs w:val="22"/>
        </w:rPr>
        <w:t>”</w:t>
      </w:r>
      <w:r>
        <w:rPr>
          <w:sz w:val="22"/>
          <w:szCs w:val="22"/>
        </w:rPr>
        <w:t xml:space="preserve"> that affects the course, location, condition, or capacity of such waters, or prior to discharging dredged or fill material into U.S. waters.  Regulatory programs that implement </w:t>
      </w:r>
      <w:r w:rsidR="008A2535">
        <w:rPr>
          <w:sz w:val="22"/>
          <w:szCs w:val="22"/>
        </w:rPr>
        <w:t xml:space="preserve">these </w:t>
      </w:r>
      <w:r>
        <w:rPr>
          <w:sz w:val="22"/>
          <w:szCs w:val="22"/>
        </w:rPr>
        <w:t>laws are administered through permits issued by the U.S. Army Corps of Engineers (</w:t>
      </w:r>
      <w:r w:rsidR="00016A08">
        <w:rPr>
          <w:sz w:val="22"/>
          <w:szCs w:val="22"/>
        </w:rPr>
        <w:t>USACE</w:t>
      </w:r>
      <w:r>
        <w:rPr>
          <w:sz w:val="22"/>
          <w:szCs w:val="22"/>
        </w:rPr>
        <w:t>), which shares responsibility with the</w:t>
      </w:r>
      <w:r w:rsidR="00016A08">
        <w:rPr>
          <w:sz w:val="22"/>
          <w:szCs w:val="22"/>
        </w:rPr>
        <w:t xml:space="preserve"> United States</w:t>
      </w:r>
      <w:r>
        <w:rPr>
          <w:sz w:val="22"/>
          <w:szCs w:val="22"/>
        </w:rPr>
        <w:t xml:space="preserve"> Environmental Protection Agency (</w:t>
      </w:r>
      <w:r w:rsidR="00016A08">
        <w:rPr>
          <w:sz w:val="22"/>
          <w:szCs w:val="22"/>
        </w:rPr>
        <w:t xml:space="preserve">U.S. </w:t>
      </w:r>
      <w:r>
        <w:rPr>
          <w:sz w:val="22"/>
          <w:szCs w:val="22"/>
        </w:rPr>
        <w:t>EPA), under the authority of the Clean Water Act</w:t>
      </w:r>
      <w:r w:rsidR="00016A08">
        <w:rPr>
          <w:sz w:val="22"/>
          <w:szCs w:val="22"/>
        </w:rPr>
        <w:t xml:space="preserve"> and </w:t>
      </w:r>
      <w:r>
        <w:rPr>
          <w:sz w:val="22"/>
          <w:szCs w:val="22"/>
        </w:rPr>
        <w:t>the Rivers and Harbors Act</w:t>
      </w:r>
      <w:r w:rsidR="00016A08">
        <w:rPr>
          <w:sz w:val="22"/>
          <w:szCs w:val="22"/>
        </w:rPr>
        <w:t>.</w:t>
      </w:r>
      <w:r>
        <w:rPr>
          <w:sz w:val="22"/>
          <w:szCs w:val="22"/>
        </w:rPr>
        <w:t xml:space="preserve"> </w:t>
      </w:r>
    </w:p>
    <w:p w14:paraId="6CF3EA17" w14:textId="77777777" w:rsidR="00B94CEA" w:rsidRDefault="00FA019D" w:rsidP="00B26745">
      <w:pPr>
        <w:spacing w:after="120"/>
        <w:rPr>
          <w:sz w:val="22"/>
          <w:szCs w:val="22"/>
        </w:rPr>
      </w:pPr>
      <w:r>
        <w:rPr>
          <w:sz w:val="22"/>
          <w:szCs w:val="22"/>
        </w:rPr>
        <w:t xml:space="preserve">The Corps’ regulatory process involves two (2) types of permits: </w:t>
      </w:r>
    </w:p>
    <w:p w14:paraId="646866FE" w14:textId="5420E9D0" w:rsidR="00B94CEA" w:rsidRDefault="00FA019D" w:rsidP="009774A9">
      <w:pPr>
        <w:numPr>
          <w:ilvl w:val="0"/>
          <w:numId w:val="15"/>
        </w:numPr>
        <w:spacing w:after="120"/>
        <w:ind w:left="720"/>
        <w:rPr>
          <w:sz w:val="22"/>
          <w:szCs w:val="22"/>
        </w:rPr>
      </w:pPr>
      <w:r>
        <w:rPr>
          <w:sz w:val="22"/>
          <w:szCs w:val="22"/>
        </w:rPr>
        <w:t>Section 404 of the Clean Water Act</w:t>
      </w:r>
      <w:r w:rsidR="005719A8">
        <w:rPr>
          <w:sz w:val="22"/>
          <w:szCs w:val="22"/>
        </w:rPr>
        <w:t>.</w:t>
      </w:r>
      <w:r w:rsidR="005719A8" w:rsidRPr="005719A8">
        <w:rPr>
          <w:sz w:val="22"/>
          <w:szCs w:val="22"/>
        </w:rPr>
        <w:t xml:space="preserve"> </w:t>
      </w:r>
      <w:r w:rsidR="005719A8">
        <w:rPr>
          <w:sz w:val="22"/>
          <w:szCs w:val="22"/>
        </w:rPr>
        <w:t xml:space="preserve">For more information see </w:t>
      </w:r>
      <w:hyperlink r:id="rId8" w:history="1">
        <w:r w:rsidR="005719A8" w:rsidRPr="00E1492F">
          <w:rPr>
            <w:rStyle w:val="Hyperlink"/>
            <w:sz w:val="22"/>
            <w:szCs w:val="22"/>
          </w:rPr>
          <w:t>http://www.epa.gov/cwa-404/section-404-permit-program</w:t>
        </w:r>
      </w:hyperlink>
      <w:r>
        <w:rPr>
          <w:sz w:val="22"/>
          <w:szCs w:val="22"/>
        </w:rPr>
        <w:t xml:space="preserve">; and </w:t>
      </w:r>
    </w:p>
    <w:p w14:paraId="434BA2BC" w14:textId="541CFBB1" w:rsidR="005719A8" w:rsidRPr="005719A8" w:rsidRDefault="00FA019D" w:rsidP="005719A8">
      <w:pPr>
        <w:pStyle w:val="ListParagraph"/>
        <w:numPr>
          <w:ilvl w:val="0"/>
          <w:numId w:val="15"/>
        </w:numPr>
        <w:spacing w:after="120"/>
        <w:ind w:left="720"/>
        <w:rPr>
          <w:rStyle w:val="Hyperlink"/>
          <w:color w:val="auto"/>
          <w:sz w:val="22"/>
          <w:szCs w:val="22"/>
          <w:u w:val="none"/>
        </w:rPr>
      </w:pPr>
      <w:r w:rsidRPr="005719A8">
        <w:rPr>
          <w:sz w:val="22"/>
          <w:szCs w:val="22"/>
        </w:rPr>
        <w:t xml:space="preserve">Section 10 of the Rivers and Harbors Act of 1899.  </w:t>
      </w:r>
      <w:r w:rsidR="005719A8" w:rsidRPr="005719A8">
        <w:rPr>
          <w:sz w:val="22"/>
          <w:szCs w:val="22"/>
        </w:rPr>
        <w:t xml:space="preserve">For more information see </w:t>
      </w:r>
      <w:hyperlink r:id="rId9" w:history="1">
        <w:r w:rsidR="00A0404C" w:rsidRPr="00957B5A">
          <w:rPr>
            <w:rStyle w:val="Hyperlink"/>
          </w:rPr>
          <w:t>https://www.epa.gov/cwa-404/section-10-rivers-and-harbors-appropriation-act-1899</w:t>
        </w:r>
      </w:hyperlink>
      <w:r w:rsidR="00A0404C">
        <w:t xml:space="preserve"> </w:t>
      </w:r>
    </w:p>
    <w:p w14:paraId="31626308" w14:textId="77777777" w:rsidR="005719A8" w:rsidRPr="005719A8" w:rsidRDefault="005719A8" w:rsidP="005719A8">
      <w:pPr>
        <w:pStyle w:val="ListParagraph"/>
        <w:spacing w:after="120"/>
        <w:rPr>
          <w:rStyle w:val="Hyperlink"/>
          <w:color w:val="auto"/>
          <w:sz w:val="22"/>
          <w:szCs w:val="22"/>
          <w:u w:val="none"/>
        </w:rPr>
      </w:pPr>
    </w:p>
    <w:p w14:paraId="01600720" w14:textId="3A479F5B" w:rsidR="00B04964" w:rsidRDefault="00B04964" w:rsidP="005719A8">
      <w:pPr>
        <w:spacing w:after="120"/>
        <w:rPr>
          <w:sz w:val="22"/>
          <w:szCs w:val="22"/>
        </w:rPr>
      </w:pPr>
      <w:r>
        <w:rPr>
          <w:sz w:val="22"/>
          <w:szCs w:val="22"/>
        </w:rPr>
        <w:t>For additional requirements see the following links</w:t>
      </w:r>
      <w:r w:rsidR="005719A8" w:rsidRPr="005719A8">
        <w:rPr>
          <w:sz w:val="22"/>
          <w:szCs w:val="22"/>
        </w:rPr>
        <w:t>:</w:t>
      </w:r>
    </w:p>
    <w:p w14:paraId="5452C43D" w14:textId="56132092" w:rsidR="005719A8" w:rsidRDefault="00A0404C" w:rsidP="00B04964">
      <w:pPr>
        <w:pStyle w:val="ListParagraph"/>
        <w:numPr>
          <w:ilvl w:val="0"/>
          <w:numId w:val="18"/>
        </w:numPr>
        <w:spacing w:after="120"/>
        <w:rPr>
          <w:sz w:val="22"/>
          <w:szCs w:val="22"/>
        </w:rPr>
      </w:pPr>
      <w:hyperlink r:id="rId10" w:history="1">
        <w:r w:rsidR="005719A8" w:rsidRPr="00B04964">
          <w:rPr>
            <w:rStyle w:val="Hyperlink"/>
            <w:sz w:val="22"/>
            <w:szCs w:val="22"/>
          </w:rPr>
          <w:t>http://www.usace.army.mil/Portals/</w:t>
        </w:r>
        <w:r w:rsidR="005719A8" w:rsidRPr="00B04964">
          <w:rPr>
            <w:rStyle w:val="Hyperlink"/>
            <w:sz w:val="22"/>
            <w:szCs w:val="22"/>
          </w:rPr>
          <w:t>2</w:t>
        </w:r>
        <w:r w:rsidR="005719A8" w:rsidRPr="00B04964">
          <w:rPr>
            <w:rStyle w:val="Hyperlink"/>
            <w:sz w:val="22"/>
            <w:szCs w:val="22"/>
          </w:rPr>
          <w:t>/docs/civilworks/regulatory/cwa_guide/app_d_traditional_navigable_waters.pdf</w:t>
        </w:r>
      </w:hyperlink>
      <w:r w:rsidR="005719A8" w:rsidRPr="00B04964">
        <w:rPr>
          <w:sz w:val="22"/>
          <w:szCs w:val="22"/>
        </w:rPr>
        <w:t>.</w:t>
      </w:r>
    </w:p>
    <w:p w14:paraId="36D552A3" w14:textId="199B9399" w:rsidR="00B04964" w:rsidRDefault="00A0404C" w:rsidP="00B04964">
      <w:pPr>
        <w:pStyle w:val="ListParagraph"/>
        <w:numPr>
          <w:ilvl w:val="0"/>
          <w:numId w:val="18"/>
        </w:numPr>
        <w:spacing w:after="120"/>
        <w:rPr>
          <w:sz w:val="22"/>
          <w:szCs w:val="22"/>
        </w:rPr>
      </w:pPr>
      <w:hyperlink r:id="rId11" w:history="1">
        <w:r w:rsidR="00B04964" w:rsidRPr="00903835">
          <w:rPr>
            <w:rStyle w:val="Hyperlink"/>
            <w:sz w:val="22"/>
            <w:szCs w:val="22"/>
          </w:rPr>
          <w:t>http://www.usace.army.mil/Portals/2/docs/civilworks/regulatory/cwa_guide/jd_guidebook_051207final.pdf</w:t>
        </w:r>
      </w:hyperlink>
      <w:r w:rsidR="00B04964">
        <w:rPr>
          <w:sz w:val="22"/>
          <w:szCs w:val="22"/>
        </w:rPr>
        <w:t>.</w:t>
      </w:r>
    </w:p>
    <w:p w14:paraId="4E35062B" w14:textId="0E81F5DA" w:rsidR="00B04964" w:rsidRDefault="00A0404C" w:rsidP="00B04964">
      <w:pPr>
        <w:pStyle w:val="ListParagraph"/>
        <w:numPr>
          <w:ilvl w:val="0"/>
          <w:numId w:val="18"/>
        </w:numPr>
        <w:spacing w:after="120"/>
        <w:rPr>
          <w:sz w:val="22"/>
          <w:szCs w:val="22"/>
        </w:rPr>
      </w:pPr>
      <w:hyperlink r:id="rId12" w:history="1">
        <w:r w:rsidR="00B04964" w:rsidRPr="00E1492F">
          <w:rPr>
            <w:rStyle w:val="Hyperlink"/>
            <w:sz w:val="22"/>
            <w:szCs w:val="22"/>
          </w:rPr>
          <w:t>http://www.epw.senate.gov/rivers.pdf</w:t>
        </w:r>
      </w:hyperlink>
      <w:r w:rsidR="00B04964">
        <w:rPr>
          <w:sz w:val="22"/>
          <w:szCs w:val="22"/>
        </w:rPr>
        <w:t>.</w:t>
      </w:r>
    </w:p>
    <w:p w14:paraId="0A0B59EF" w14:textId="77777777" w:rsidR="00BA1B46" w:rsidRDefault="00BA1B46" w:rsidP="00BA1B46">
      <w:pPr>
        <w:spacing w:after="120"/>
        <w:rPr>
          <w:sz w:val="22"/>
          <w:szCs w:val="22"/>
        </w:rPr>
      </w:pPr>
    </w:p>
    <w:p w14:paraId="01C01B60" w14:textId="77777777" w:rsidR="00BA1B46" w:rsidRPr="00BA1B46" w:rsidRDefault="00BA1B46" w:rsidP="00BA1B46">
      <w:pPr>
        <w:spacing w:after="120"/>
        <w:rPr>
          <w:sz w:val="22"/>
          <w:szCs w:val="22"/>
        </w:rPr>
      </w:pPr>
    </w:p>
    <w:p w14:paraId="0C1B3607" w14:textId="77777777" w:rsidR="00B04964" w:rsidRDefault="00DE5CF5" w:rsidP="00B04964">
      <w:pPr>
        <w:spacing w:after="120"/>
        <w:ind w:left="720" w:hanging="720"/>
        <w:rPr>
          <w:spacing w:val="0"/>
          <w:sz w:val="22"/>
          <w:szCs w:val="22"/>
        </w:rPr>
      </w:pPr>
      <w:r w:rsidRPr="00DE5CF5">
        <w:rPr>
          <w:b/>
          <w:spacing w:val="0"/>
          <w:sz w:val="22"/>
          <w:szCs w:val="22"/>
        </w:rPr>
        <w:t>Wetlands:</w:t>
      </w:r>
      <w:r>
        <w:rPr>
          <w:spacing w:val="0"/>
          <w:sz w:val="22"/>
          <w:szCs w:val="22"/>
        </w:rPr>
        <w:t xml:space="preserve"> </w:t>
      </w:r>
    </w:p>
    <w:p w14:paraId="2B6FDC6F" w14:textId="669732B4" w:rsidR="00DE5CF5" w:rsidRPr="00DE5CF5" w:rsidRDefault="009D6C24" w:rsidP="00B04964">
      <w:pPr>
        <w:spacing w:after="120"/>
        <w:ind w:left="360"/>
        <w:rPr>
          <w:spacing w:val="0"/>
          <w:sz w:val="22"/>
          <w:szCs w:val="22"/>
        </w:rPr>
      </w:pPr>
      <w:r>
        <w:rPr>
          <w:spacing w:val="0"/>
          <w:sz w:val="22"/>
          <w:szCs w:val="22"/>
        </w:rPr>
        <w:t>Wetlands</w:t>
      </w:r>
      <w:r w:rsidR="00DE5CF5" w:rsidRPr="00DE5CF5">
        <w:rPr>
          <w:spacing w:val="0"/>
          <w:sz w:val="22"/>
          <w:szCs w:val="22"/>
        </w:rPr>
        <w:t xml:space="preserve"> located on the property</w:t>
      </w:r>
      <w:r>
        <w:rPr>
          <w:spacing w:val="0"/>
          <w:sz w:val="22"/>
          <w:szCs w:val="22"/>
        </w:rPr>
        <w:t xml:space="preserve"> require</w:t>
      </w:r>
      <w:r w:rsidR="00DE5CF5" w:rsidRPr="00DE5CF5">
        <w:rPr>
          <w:spacing w:val="0"/>
          <w:sz w:val="22"/>
          <w:szCs w:val="22"/>
        </w:rPr>
        <w:t xml:space="preserve"> proper identification </w:t>
      </w:r>
      <w:r w:rsidR="00DE5CF5">
        <w:rPr>
          <w:spacing w:val="0"/>
          <w:sz w:val="22"/>
          <w:szCs w:val="22"/>
        </w:rPr>
        <w:t xml:space="preserve">and delineation of </w:t>
      </w:r>
      <w:r w:rsidR="00B04964">
        <w:rPr>
          <w:spacing w:val="0"/>
          <w:sz w:val="22"/>
          <w:szCs w:val="22"/>
        </w:rPr>
        <w:t xml:space="preserve">their </w:t>
      </w:r>
      <w:r w:rsidR="00DE5CF5">
        <w:rPr>
          <w:spacing w:val="0"/>
          <w:sz w:val="22"/>
          <w:szCs w:val="22"/>
        </w:rPr>
        <w:t>boundaries</w:t>
      </w:r>
      <w:r w:rsidR="00DD0208">
        <w:rPr>
          <w:spacing w:val="0"/>
          <w:sz w:val="22"/>
          <w:szCs w:val="22"/>
        </w:rPr>
        <w:t>. This</w:t>
      </w:r>
      <w:r w:rsidR="00DE5CF5">
        <w:rPr>
          <w:spacing w:val="0"/>
          <w:sz w:val="22"/>
          <w:szCs w:val="22"/>
        </w:rPr>
        <w:t xml:space="preserve"> </w:t>
      </w:r>
      <w:r w:rsidR="00DE5CF5" w:rsidRPr="00DE5CF5">
        <w:rPr>
          <w:spacing w:val="0"/>
          <w:sz w:val="22"/>
          <w:szCs w:val="22"/>
        </w:rPr>
        <w:t xml:space="preserve">will determine the extent of the mitigation and/or permitting process.  </w:t>
      </w:r>
    </w:p>
    <w:p w14:paraId="7D684804" w14:textId="3A55C2C5" w:rsidR="00DE5CF5" w:rsidRPr="00DE5CF5" w:rsidRDefault="00DE5CF5" w:rsidP="00705F4F">
      <w:pPr>
        <w:autoSpaceDE w:val="0"/>
        <w:autoSpaceDN w:val="0"/>
        <w:adjustRightInd w:val="0"/>
        <w:spacing w:after="120"/>
        <w:ind w:left="360"/>
        <w:rPr>
          <w:sz w:val="22"/>
          <w:szCs w:val="22"/>
          <w:lang w:val="x-none"/>
        </w:rPr>
      </w:pPr>
      <w:r w:rsidRPr="00DE5CF5">
        <w:rPr>
          <w:spacing w:val="0"/>
          <w:sz w:val="22"/>
          <w:szCs w:val="22"/>
        </w:rPr>
        <w:t xml:space="preserve">Wetlands are transitional areas between upland and </w:t>
      </w:r>
      <w:r w:rsidR="00A0404C" w:rsidRPr="00DE5CF5">
        <w:rPr>
          <w:spacing w:val="0"/>
          <w:sz w:val="22"/>
          <w:szCs w:val="22"/>
        </w:rPr>
        <w:t>deep-water</w:t>
      </w:r>
      <w:r w:rsidRPr="00DE5CF5">
        <w:rPr>
          <w:spacing w:val="0"/>
          <w:sz w:val="22"/>
          <w:szCs w:val="22"/>
        </w:rPr>
        <w:t xml:space="preserve"> aquatic systems. Wetlands come in all shapes and sizes and go by names such as marshes, swamps, scrub-shrubs, bottomlands, oxbows, or sloughs. The regulatory definition of wetlands is “land that has a predominance of hydric soils, and that is inundated or saturated by surface or groundwater at a frequency and duration sufficient to support, and that under normal circumstances does support, a prevalence of hydrophytic vegetation typically adapted for life in saturated soil conditions” [40 CFR 230.3(t)].  Wetlands are not limited to those shown on National Wetland Inventory mapping.  All aquatic features within a project site require confirmation of their jurisdictional status by the Army Corps of Engineers. </w:t>
      </w:r>
      <w:r w:rsidRPr="00246C3A">
        <w:rPr>
          <w:sz w:val="22"/>
          <w:szCs w:val="22"/>
          <w:lang w:val="x-none"/>
        </w:rPr>
        <w:t xml:space="preserve">A qualified </w:t>
      </w:r>
      <w:r w:rsidRPr="00246C3A">
        <w:rPr>
          <w:sz w:val="22"/>
          <w:szCs w:val="22"/>
        </w:rPr>
        <w:t>professional</w:t>
      </w:r>
      <w:r w:rsidR="00246C3A" w:rsidRPr="00246C3A">
        <w:rPr>
          <w:sz w:val="22"/>
          <w:szCs w:val="22"/>
        </w:rPr>
        <w:t xml:space="preserve"> Geologist or</w:t>
      </w:r>
      <w:r w:rsidRPr="00246C3A">
        <w:rPr>
          <w:sz w:val="22"/>
          <w:szCs w:val="22"/>
        </w:rPr>
        <w:t xml:space="preserve"> Engineer</w:t>
      </w:r>
      <w:r>
        <w:rPr>
          <w:sz w:val="22"/>
          <w:szCs w:val="22"/>
        </w:rPr>
        <w:t xml:space="preserve"> </w:t>
      </w:r>
      <w:r w:rsidRPr="00DE5CF5">
        <w:rPr>
          <w:sz w:val="22"/>
          <w:szCs w:val="22"/>
          <w:lang w:val="x-none"/>
        </w:rPr>
        <w:t xml:space="preserve">should examine the site for wetlands, delineate wetland boundaries, and prepare a Jurisdictional Determination for concurrence by the USACE.  </w:t>
      </w:r>
    </w:p>
    <w:p w14:paraId="249FBC6A" w14:textId="77777777" w:rsidR="00DE5CF5" w:rsidRPr="002D327B" w:rsidRDefault="00DE5CF5" w:rsidP="00705F4F">
      <w:pPr>
        <w:autoSpaceDE w:val="0"/>
        <w:autoSpaceDN w:val="0"/>
        <w:adjustRightInd w:val="0"/>
        <w:spacing w:after="120"/>
        <w:ind w:left="360"/>
        <w:rPr>
          <w:spacing w:val="0"/>
          <w:sz w:val="22"/>
          <w:szCs w:val="22"/>
        </w:rPr>
      </w:pPr>
      <w:r w:rsidRPr="00DE5CF5">
        <w:rPr>
          <w:spacing w:val="0"/>
          <w:sz w:val="22"/>
          <w:szCs w:val="22"/>
        </w:rPr>
        <w:t xml:space="preserve"> </w:t>
      </w:r>
      <w:r w:rsidRPr="002D327B">
        <w:rPr>
          <w:spacing w:val="0"/>
          <w:sz w:val="22"/>
          <w:szCs w:val="22"/>
        </w:rPr>
        <w:t>All wetlands have three things in common:</w:t>
      </w:r>
    </w:p>
    <w:p w14:paraId="1F0BE4D5" w14:textId="77777777" w:rsidR="00DE5CF5" w:rsidRPr="00DE5CF5" w:rsidRDefault="0057106B" w:rsidP="00705F4F">
      <w:pPr>
        <w:numPr>
          <w:ilvl w:val="0"/>
          <w:numId w:val="13"/>
        </w:numPr>
        <w:autoSpaceDE w:val="0"/>
        <w:autoSpaceDN w:val="0"/>
        <w:adjustRightInd w:val="0"/>
        <w:spacing w:after="120"/>
        <w:ind w:left="1080"/>
        <w:rPr>
          <w:spacing w:val="0"/>
          <w:sz w:val="22"/>
          <w:szCs w:val="22"/>
        </w:rPr>
      </w:pPr>
      <w:r>
        <w:rPr>
          <w:spacing w:val="0"/>
          <w:sz w:val="22"/>
          <w:szCs w:val="22"/>
        </w:rPr>
        <w:t xml:space="preserve">One indicator used to identify a </w:t>
      </w:r>
      <w:proofErr w:type="gramStart"/>
      <w:r>
        <w:rPr>
          <w:spacing w:val="0"/>
          <w:sz w:val="22"/>
          <w:szCs w:val="22"/>
        </w:rPr>
        <w:t>wetlands</w:t>
      </w:r>
      <w:proofErr w:type="gramEnd"/>
      <w:r>
        <w:rPr>
          <w:spacing w:val="0"/>
          <w:sz w:val="22"/>
          <w:szCs w:val="22"/>
        </w:rPr>
        <w:t xml:space="preserve"> is a</w:t>
      </w:r>
      <w:r w:rsidR="00DE5CF5" w:rsidRPr="00DE5CF5">
        <w:rPr>
          <w:spacing w:val="0"/>
          <w:sz w:val="22"/>
          <w:szCs w:val="22"/>
        </w:rPr>
        <w:t xml:space="preserve"> soil that is at least periodically saturated or ponded and exhibits certain water-loving plants. </w:t>
      </w:r>
    </w:p>
    <w:p w14:paraId="26568D4E" w14:textId="77777777" w:rsidR="0057106B" w:rsidRDefault="00DE5CF5" w:rsidP="00705F4F">
      <w:pPr>
        <w:numPr>
          <w:ilvl w:val="0"/>
          <w:numId w:val="12"/>
        </w:numPr>
        <w:autoSpaceDE w:val="0"/>
        <w:autoSpaceDN w:val="0"/>
        <w:adjustRightInd w:val="0"/>
        <w:spacing w:after="120"/>
        <w:ind w:left="1080"/>
        <w:rPr>
          <w:spacing w:val="0"/>
          <w:sz w:val="22"/>
          <w:szCs w:val="22"/>
        </w:rPr>
      </w:pPr>
      <w:r w:rsidRPr="00DE5CF5">
        <w:rPr>
          <w:spacing w:val="0"/>
          <w:sz w:val="22"/>
          <w:szCs w:val="22"/>
        </w:rPr>
        <w:t xml:space="preserve">Two other indicators must be present to identify wetlands: </w:t>
      </w:r>
    </w:p>
    <w:p w14:paraId="6177BF94" w14:textId="77777777" w:rsidR="0057106B" w:rsidRDefault="002345D6" w:rsidP="00705F4F">
      <w:pPr>
        <w:numPr>
          <w:ilvl w:val="0"/>
          <w:numId w:val="17"/>
        </w:numPr>
        <w:autoSpaceDE w:val="0"/>
        <w:autoSpaceDN w:val="0"/>
        <w:adjustRightInd w:val="0"/>
        <w:spacing w:after="120"/>
        <w:ind w:left="1800"/>
        <w:rPr>
          <w:spacing w:val="0"/>
          <w:sz w:val="22"/>
          <w:szCs w:val="22"/>
        </w:rPr>
      </w:pPr>
      <w:r>
        <w:rPr>
          <w:spacing w:val="0"/>
          <w:sz w:val="22"/>
          <w:szCs w:val="22"/>
        </w:rPr>
        <w:t>H</w:t>
      </w:r>
      <w:r w:rsidR="00DE5CF5" w:rsidRPr="00DE5CF5">
        <w:rPr>
          <w:spacing w:val="0"/>
          <w:sz w:val="22"/>
          <w:szCs w:val="22"/>
        </w:rPr>
        <w:t xml:space="preserve">ydric soil and </w:t>
      </w:r>
    </w:p>
    <w:p w14:paraId="49FD6D3A" w14:textId="77777777" w:rsidR="009D6C24" w:rsidRDefault="002345D6" w:rsidP="00705F4F">
      <w:pPr>
        <w:numPr>
          <w:ilvl w:val="0"/>
          <w:numId w:val="17"/>
        </w:numPr>
        <w:autoSpaceDE w:val="0"/>
        <w:autoSpaceDN w:val="0"/>
        <w:adjustRightInd w:val="0"/>
        <w:spacing w:after="120"/>
        <w:ind w:left="1800"/>
        <w:rPr>
          <w:spacing w:val="0"/>
          <w:sz w:val="22"/>
          <w:szCs w:val="22"/>
        </w:rPr>
      </w:pPr>
      <w:r>
        <w:rPr>
          <w:spacing w:val="0"/>
          <w:sz w:val="22"/>
          <w:szCs w:val="22"/>
        </w:rPr>
        <w:t>H</w:t>
      </w:r>
      <w:r w:rsidR="00DE5CF5" w:rsidRPr="00DE5CF5">
        <w:rPr>
          <w:spacing w:val="0"/>
          <w:sz w:val="22"/>
          <w:szCs w:val="22"/>
        </w:rPr>
        <w:t xml:space="preserve">ydrology. </w:t>
      </w:r>
    </w:p>
    <w:p w14:paraId="46CE92A0" w14:textId="77777777" w:rsidR="00BA1B46" w:rsidRDefault="00BA1B46" w:rsidP="00FC1CBE">
      <w:pPr>
        <w:autoSpaceDE w:val="0"/>
        <w:autoSpaceDN w:val="0"/>
        <w:adjustRightInd w:val="0"/>
        <w:spacing w:after="120"/>
        <w:ind w:left="360"/>
        <w:rPr>
          <w:spacing w:val="0"/>
          <w:sz w:val="22"/>
          <w:szCs w:val="22"/>
        </w:rPr>
      </w:pPr>
    </w:p>
    <w:p w14:paraId="7DDBDFFC" w14:textId="77777777" w:rsidR="00BA1B46" w:rsidRDefault="00BA1B46" w:rsidP="00FC1CBE">
      <w:pPr>
        <w:autoSpaceDE w:val="0"/>
        <w:autoSpaceDN w:val="0"/>
        <w:adjustRightInd w:val="0"/>
        <w:spacing w:after="120"/>
        <w:ind w:left="360"/>
        <w:rPr>
          <w:spacing w:val="0"/>
          <w:sz w:val="22"/>
          <w:szCs w:val="22"/>
        </w:rPr>
      </w:pPr>
    </w:p>
    <w:p w14:paraId="772CBAE8" w14:textId="77777777" w:rsidR="00BA1B46" w:rsidRDefault="00BA1B46" w:rsidP="00FC1CBE">
      <w:pPr>
        <w:autoSpaceDE w:val="0"/>
        <w:autoSpaceDN w:val="0"/>
        <w:adjustRightInd w:val="0"/>
        <w:spacing w:after="120"/>
        <w:ind w:left="360"/>
        <w:rPr>
          <w:spacing w:val="0"/>
          <w:sz w:val="22"/>
          <w:szCs w:val="22"/>
        </w:rPr>
      </w:pPr>
    </w:p>
    <w:p w14:paraId="1A542975" w14:textId="77777777" w:rsidR="00FA019D" w:rsidRPr="00667527" w:rsidRDefault="00DE5CF5" w:rsidP="00FC1CBE">
      <w:pPr>
        <w:autoSpaceDE w:val="0"/>
        <w:autoSpaceDN w:val="0"/>
        <w:adjustRightInd w:val="0"/>
        <w:spacing w:after="120"/>
        <w:ind w:left="360"/>
        <w:rPr>
          <w:b/>
          <w:sz w:val="22"/>
          <w:szCs w:val="22"/>
        </w:rPr>
      </w:pPr>
      <w:r w:rsidRPr="00DE5CF5">
        <w:rPr>
          <w:spacing w:val="0"/>
          <w:sz w:val="22"/>
          <w:szCs w:val="22"/>
        </w:rPr>
        <w:t xml:space="preserve">The U.S. Army Corps of Engineers is responsible for jurisdictional wetland determinations in Kentucky. </w:t>
      </w:r>
      <w:r w:rsidRPr="002D327B">
        <w:rPr>
          <w:spacing w:val="0"/>
          <w:sz w:val="22"/>
          <w:szCs w:val="22"/>
        </w:rPr>
        <w:t>Section 404 of the Clean Water Act requires</w:t>
      </w:r>
      <w:r w:rsidRPr="00DE5CF5">
        <w:rPr>
          <w:spacing w:val="0"/>
          <w:sz w:val="22"/>
          <w:szCs w:val="22"/>
        </w:rPr>
        <w:t xml:space="preserve"> that applicants who propose projects that will result in the loss of jurisdictional wetlands must demonstrate that the project 1) avoids impact to wetlands where practical, 2) minimizes the impacts to those wetlands that cannot be avoided, and 3) mitigates for the loss of any jurisdictional wetlands.</w:t>
      </w:r>
    </w:p>
    <w:sectPr w:rsidR="00FA019D" w:rsidRPr="00667527" w:rsidSect="00723B0F">
      <w:footerReference w:type="even" r:id="rId13"/>
      <w:footerReference w:type="default" r:id="rId14"/>
      <w:pgSz w:w="12240" w:h="15840"/>
      <w:pgMar w:top="1008"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5F00" w14:textId="77777777" w:rsidR="00A16BF5" w:rsidRDefault="00A16BF5">
      <w:r>
        <w:separator/>
      </w:r>
    </w:p>
  </w:endnote>
  <w:endnote w:type="continuationSeparator" w:id="0">
    <w:p w14:paraId="40DE6328" w14:textId="77777777" w:rsidR="00A16BF5" w:rsidRDefault="00A1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2100" w14:textId="70989E01" w:rsidR="00C50F5D" w:rsidRDefault="00C50F5D" w:rsidP="0089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0404C">
      <w:rPr>
        <w:rStyle w:val="PageNumber"/>
      </w:rPr>
      <w:fldChar w:fldCharType="separate"/>
    </w:r>
    <w:r w:rsidR="00A0404C">
      <w:rPr>
        <w:rStyle w:val="PageNumber"/>
        <w:noProof/>
      </w:rPr>
      <w:t>1</w:t>
    </w:r>
    <w:r>
      <w:rPr>
        <w:rStyle w:val="PageNumber"/>
      </w:rPr>
      <w:fldChar w:fldCharType="end"/>
    </w:r>
  </w:p>
  <w:p w14:paraId="6E45C05C" w14:textId="77777777" w:rsidR="00C50F5D" w:rsidRDefault="00C50F5D" w:rsidP="0089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FA2" w14:textId="77777777" w:rsidR="00C50F5D" w:rsidRDefault="00297D0E" w:rsidP="00297D0E">
    <w:pPr>
      <w:pStyle w:val="Footer"/>
      <w:framePr w:w="1201" w:wrap="around" w:vAnchor="text" w:hAnchor="page" w:x="9601" w:y="206"/>
      <w:jc w:val="right"/>
      <w:rPr>
        <w:rStyle w:val="PageNumber"/>
      </w:rPr>
    </w:pPr>
    <w:r>
      <w:rPr>
        <w:rStyle w:val="PageNumber"/>
      </w:rPr>
      <w:t>2</w:t>
    </w:r>
    <w:r w:rsidR="008E35A3">
      <w:rPr>
        <w:rStyle w:val="PageNumber"/>
      </w:rPr>
      <w:t>14</w:t>
    </w:r>
    <w:r>
      <w:rPr>
        <w:rStyle w:val="PageNumber"/>
      </w:rPr>
      <w:t>-</w:t>
    </w:r>
    <w:r w:rsidR="00C50F5D">
      <w:rPr>
        <w:rStyle w:val="PageNumber"/>
      </w:rPr>
      <w:fldChar w:fldCharType="begin"/>
    </w:r>
    <w:r w:rsidR="00C50F5D">
      <w:rPr>
        <w:rStyle w:val="PageNumber"/>
      </w:rPr>
      <w:instrText xml:space="preserve">PAGE  </w:instrText>
    </w:r>
    <w:r w:rsidR="00C50F5D">
      <w:rPr>
        <w:rStyle w:val="PageNumber"/>
      </w:rPr>
      <w:fldChar w:fldCharType="separate"/>
    </w:r>
    <w:r w:rsidR="00BA1B46">
      <w:rPr>
        <w:rStyle w:val="PageNumber"/>
        <w:noProof/>
      </w:rPr>
      <w:t>1</w:t>
    </w:r>
    <w:r w:rsidR="00C50F5D">
      <w:rPr>
        <w:rStyle w:val="PageNumber"/>
      </w:rPr>
      <w:fldChar w:fldCharType="end"/>
    </w:r>
  </w:p>
  <w:p w14:paraId="572F28B6" w14:textId="77777777" w:rsidR="00C50F5D" w:rsidRDefault="00C50F5D" w:rsidP="00893F50">
    <w:pPr>
      <w:pStyle w:val="Footer"/>
      <w:ind w:right="360"/>
    </w:pPr>
  </w:p>
  <w:p w14:paraId="4739A64F" w14:textId="4DF9FFE1" w:rsidR="00C50F5D" w:rsidRDefault="00DD0208">
    <w:pPr>
      <w:pStyle w:val="Footer"/>
    </w:pPr>
    <w:r w:rsidRPr="00DD0208">
      <w:t xml:space="preserve">214 </w:t>
    </w:r>
    <w:r w:rsidR="00AD66C5">
      <w:t>–</w:t>
    </w:r>
    <w:r w:rsidRPr="00DD0208">
      <w:t xml:space="preserve"> </w:t>
    </w:r>
    <w:r w:rsidR="007B3871">
      <w:t xml:space="preserve">Federal </w:t>
    </w:r>
    <w:r w:rsidR="00AD66C5">
      <w:t>Environmental</w:t>
    </w:r>
    <w:r w:rsidRPr="00DD0208">
      <w:t xml:space="preserve"> </w:t>
    </w:r>
    <w:r w:rsidR="007B3871">
      <w:t xml:space="preserve">Laws </w:t>
    </w:r>
    <w:r w:rsidR="00525183">
      <w:t>–</w:t>
    </w:r>
    <w:r w:rsidR="00A24AEC">
      <w:t xml:space="preserve"> </w:t>
    </w:r>
    <w:r w:rsidR="00A0404C">
      <w:t>January 31, 2023</w:t>
    </w:r>
  </w:p>
  <w:p w14:paraId="09ADF686" w14:textId="77777777" w:rsidR="00A747F5" w:rsidRDefault="00A7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A03A" w14:textId="77777777" w:rsidR="00A16BF5" w:rsidRDefault="00A16BF5">
      <w:r>
        <w:separator/>
      </w:r>
    </w:p>
  </w:footnote>
  <w:footnote w:type="continuationSeparator" w:id="0">
    <w:p w14:paraId="0344656F" w14:textId="77777777" w:rsidR="00A16BF5" w:rsidRDefault="00A16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7A14"/>
    <w:multiLevelType w:val="hybridMultilevel"/>
    <w:tmpl w:val="653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1549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2" w15:restartNumberingAfterBreak="0">
    <w:nsid w:val="17345DF8"/>
    <w:multiLevelType w:val="hybridMultilevel"/>
    <w:tmpl w:val="8D80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B747B"/>
    <w:multiLevelType w:val="hybridMultilevel"/>
    <w:tmpl w:val="C90A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5BF8"/>
    <w:multiLevelType w:val="hybridMultilevel"/>
    <w:tmpl w:val="ED42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15D99"/>
    <w:multiLevelType w:val="hybridMultilevel"/>
    <w:tmpl w:val="22DCC5A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36FF1757"/>
    <w:multiLevelType w:val="multilevel"/>
    <w:tmpl w:val="16DEB2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75150C4"/>
    <w:multiLevelType w:val="hybridMultilevel"/>
    <w:tmpl w:val="8C8A2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15D64"/>
    <w:multiLevelType w:val="hybridMultilevel"/>
    <w:tmpl w:val="FB021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A5FFA"/>
    <w:multiLevelType w:val="hybridMultilevel"/>
    <w:tmpl w:val="8188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76954"/>
    <w:multiLevelType w:val="hybridMultilevel"/>
    <w:tmpl w:val="1B6C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DC6C12"/>
    <w:multiLevelType w:val="hybridMultilevel"/>
    <w:tmpl w:val="7C52D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012A7"/>
    <w:multiLevelType w:val="hybridMultilevel"/>
    <w:tmpl w:val="64E2A252"/>
    <w:lvl w:ilvl="0" w:tplc="3226607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574E20E7"/>
    <w:multiLevelType w:val="hybridMultilevel"/>
    <w:tmpl w:val="11F2E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790D54"/>
    <w:multiLevelType w:val="hybridMultilevel"/>
    <w:tmpl w:val="16B0E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F0023"/>
    <w:multiLevelType w:val="hybridMultilevel"/>
    <w:tmpl w:val="F5C05A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B6B3699"/>
    <w:multiLevelType w:val="hybridMultilevel"/>
    <w:tmpl w:val="D9FEA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52FFB"/>
    <w:multiLevelType w:val="hybridMultilevel"/>
    <w:tmpl w:val="DC10E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87476046">
    <w:abstractNumId w:val="1"/>
  </w:num>
  <w:num w:numId="2" w16cid:durableId="1525823785">
    <w:abstractNumId w:val="0"/>
  </w:num>
  <w:num w:numId="3" w16cid:durableId="1977952039">
    <w:abstractNumId w:val="17"/>
  </w:num>
  <w:num w:numId="4" w16cid:durableId="827670259">
    <w:abstractNumId w:val="11"/>
  </w:num>
  <w:num w:numId="5" w16cid:durableId="1597471333">
    <w:abstractNumId w:val="8"/>
  </w:num>
  <w:num w:numId="6" w16cid:durableId="263463588">
    <w:abstractNumId w:val="16"/>
  </w:num>
  <w:num w:numId="7" w16cid:durableId="1738702297">
    <w:abstractNumId w:val="14"/>
  </w:num>
  <w:num w:numId="8" w16cid:durableId="1408382368">
    <w:abstractNumId w:val="6"/>
  </w:num>
  <w:num w:numId="9" w16cid:durableId="731582825">
    <w:abstractNumId w:val="3"/>
  </w:num>
  <w:num w:numId="10" w16cid:durableId="1561597856">
    <w:abstractNumId w:val="5"/>
  </w:num>
  <w:num w:numId="11" w16cid:durableId="1535924006">
    <w:abstractNumId w:val="12"/>
  </w:num>
  <w:num w:numId="12" w16cid:durableId="1489898935">
    <w:abstractNumId w:val="4"/>
  </w:num>
  <w:num w:numId="13" w16cid:durableId="392582723">
    <w:abstractNumId w:val="2"/>
  </w:num>
  <w:num w:numId="14" w16cid:durableId="826089628">
    <w:abstractNumId w:val="13"/>
  </w:num>
  <w:num w:numId="15" w16cid:durableId="1149715188">
    <w:abstractNumId w:val="10"/>
  </w:num>
  <w:num w:numId="16" w16cid:durableId="1821118173">
    <w:abstractNumId w:val="15"/>
  </w:num>
  <w:num w:numId="17" w16cid:durableId="1613128791">
    <w:abstractNumId w:val="7"/>
  </w:num>
  <w:num w:numId="18" w16cid:durableId="8994421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18"/>
    <w:rsid w:val="00016A08"/>
    <w:rsid w:val="0004004F"/>
    <w:rsid w:val="00040C03"/>
    <w:rsid w:val="000453DA"/>
    <w:rsid w:val="000618A6"/>
    <w:rsid w:val="00083153"/>
    <w:rsid w:val="000847DF"/>
    <w:rsid w:val="000A4E16"/>
    <w:rsid w:val="000D0655"/>
    <w:rsid w:val="00104FB0"/>
    <w:rsid w:val="00122C98"/>
    <w:rsid w:val="00135898"/>
    <w:rsid w:val="0015641D"/>
    <w:rsid w:val="00160B3A"/>
    <w:rsid w:val="00196073"/>
    <w:rsid w:val="001C4B89"/>
    <w:rsid w:val="002020E3"/>
    <w:rsid w:val="002345D6"/>
    <w:rsid w:val="00237B5A"/>
    <w:rsid w:val="00246C3A"/>
    <w:rsid w:val="00254E4B"/>
    <w:rsid w:val="00297D0E"/>
    <w:rsid w:val="002C12A8"/>
    <w:rsid w:val="002D327B"/>
    <w:rsid w:val="002F5396"/>
    <w:rsid w:val="002F6F0B"/>
    <w:rsid w:val="00314429"/>
    <w:rsid w:val="00350C17"/>
    <w:rsid w:val="00353FA0"/>
    <w:rsid w:val="00374594"/>
    <w:rsid w:val="003877EE"/>
    <w:rsid w:val="00433CE5"/>
    <w:rsid w:val="00447BB6"/>
    <w:rsid w:val="00462E92"/>
    <w:rsid w:val="00473D13"/>
    <w:rsid w:val="00493F58"/>
    <w:rsid w:val="004944C6"/>
    <w:rsid w:val="004C0262"/>
    <w:rsid w:val="00525183"/>
    <w:rsid w:val="005600E0"/>
    <w:rsid w:val="0057106B"/>
    <w:rsid w:val="005719A8"/>
    <w:rsid w:val="005725B4"/>
    <w:rsid w:val="00595754"/>
    <w:rsid w:val="005A6A95"/>
    <w:rsid w:val="005B1CA8"/>
    <w:rsid w:val="00635A93"/>
    <w:rsid w:val="006555A1"/>
    <w:rsid w:val="00667527"/>
    <w:rsid w:val="00683952"/>
    <w:rsid w:val="0069502F"/>
    <w:rsid w:val="00695BF5"/>
    <w:rsid w:val="006A3023"/>
    <w:rsid w:val="006E06E8"/>
    <w:rsid w:val="006E0911"/>
    <w:rsid w:val="006F784F"/>
    <w:rsid w:val="00705F4F"/>
    <w:rsid w:val="007124AE"/>
    <w:rsid w:val="00723B0F"/>
    <w:rsid w:val="00741E58"/>
    <w:rsid w:val="00794180"/>
    <w:rsid w:val="007B3871"/>
    <w:rsid w:val="007C442A"/>
    <w:rsid w:val="007E1223"/>
    <w:rsid w:val="00825128"/>
    <w:rsid w:val="00836C60"/>
    <w:rsid w:val="008370A7"/>
    <w:rsid w:val="00841561"/>
    <w:rsid w:val="00864054"/>
    <w:rsid w:val="00893F50"/>
    <w:rsid w:val="008A2298"/>
    <w:rsid w:val="008A2535"/>
    <w:rsid w:val="008A75BD"/>
    <w:rsid w:val="008E35A3"/>
    <w:rsid w:val="008E38CE"/>
    <w:rsid w:val="00903583"/>
    <w:rsid w:val="0092207B"/>
    <w:rsid w:val="00927558"/>
    <w:rsid w:val="00933865"/>
    <w:rsid w:val="00940371"/>
    <w:rsid w:val="009508D4"/>
    <w:rsid w:val="00960768"/>
    <w:rsid w:val="0096668B"/>
    <w:rsid w:val="009774A9"/>
    <w:rsid w:val="00986295"/>
    <w:rsid w:val="00987543"/>
    <w:rsid w:val="009B73A6"/>
    <w:rsid w:val="009D6C24"/>
    <w:rsid w:val="009F4689"/>
    <w:rsid w:val="009F4A4B"/>
    <w:rsid w:val="00A0404C"/>
    <w:rsid w:val="00A16BF5"/>
    <w:rsid w:val="00A24AEC"/>
    <w:rsid w:val="00A5598C"/>
    <w:rsid w:val="00A64BBC"/>
    <w:rsid w:val="00A72552"/>
    <w:rsid w:val="00A747F5"/>
    <w:rsid w:val="00A74DAA"/>
    <w:rsid w:val="00A80886"/>
    <w:rsid w:val="00A96218"/>
    <w:rsid w:val="00AA01E8"/>
    <w:rsid w:val="00AD66C5"/>
    <w:rsid w:val="00B04964"/>
    <w:rsid w:val="00B254B3"/>
    <w:rsid w:val="00B26745"/>
    <w:rsid w:val="00B60414"/>
    <w:rsid w:val="00B7332C"/>
    <w:rsid w:val="00B82A1E"/>
    <w:rsid w:val="00B94CEA"/>
    <w:rsid w:val="00B962C9"/>
    <w:rsid w:val="00BA1B46"/>
    <w:rsid w:val="00BB37EB"/>
    <w:rsid w:val="00BD2F04"/>
    <w:rsid w:val="00BD6703"/>
    <w:rsid w:val="00C055E9"/>
    <w:rsid w:val="00C25FE1"/>
    <w:rsid w:val="00C50F5D"/>
    <w:rsid w:val="00C62A25"/>
    <w:rsid w:val="00C66538"/>
    <w:rsid w:val="00C703D5"/>
    <w:rsid w:val="00CC13A5"/>
    <w:rsid w:val="00CC3E8E"/>
    <w:rsid w:val="00CC43A9"/>
    <w:rsid w:val="00CF6819"/>
    <w:rsid w:val="00D011B6"/>
    <w:rsid w:val="00D22D65"/>
    <w:rsid w:val="00D3612E"/>
    <w:rsid w:val="00D4141A"/>
    <w:rsid w:val="00D459C7"/>
    <w:rsid w:val="00D51D0A"/>
    <w:rsid w:val="00D55C95"/>
    <w:rsid w:val="00D71819"/>
    <w:rsid w:val="00D9431C"/>
    <w:rsid w:val="00D952C3"/>
    <w:rsid w:val="00DC6403"/>
    <w:rsid w:val="00DD0208"/>
    <w:rsid w:val="00DE5CF5"/>
    <w:rsid w:val="00DF1494"/>
    <w:rsid w:val="00DF3F5E"/>
    <w:rsid w:val="00DF4AC7"/>
    <w:rsid w:val="00E0012A"/>
    <w:rsid w:val="00E24044"/>
    <w:rsid w:val="00E2727C"/>
    <w:rsid w:val="00E30392"/>
    <w:rsid w:val="00E529AF"/>
    <w:rsid w:val="00E7444F"/>
    <w:rsid w:val="00E77592"/>
    <w:rsid w:val="00E83035"/>
    <w:rsid w:val="00EA0369"/>
    <w:rsid w:val="00EB1BAF"/>
    <w:rsid w:val="00EC617E"/>
    <w:rsid w:val="00EE6E61"/>
    <w:rsid w:val="00F22135"/>
    <w:rsid w:val="00F33025"/>
    <w:rsid w:val="00F40081"/>
    <w:rsid w:val="00F406A1"/>
    <w:rsid w:val="00F7490C"/>
    <w:rsid w:val="00F8041D"/>
    <w:rsid w:val="00FA019D"/>
    <w:rsid w:val="00FA77BF"/>
    <w:rsid w:val="00FB5618"/>
    <w:rsid w:val="00FC1CBE"/>
    <w:rsid w:val="00FC20AA"/>
    <w:rsid w:val="00FD475A"/>
    <w:rsid w:val="00FD6A39"/>
    <w:rsid w:val="00FE0CAA"/>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65E9F"/>
  <w15:docId w15:val="{491A7A93-E44B-444E-8349-C1E4A6A1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73"/>
    <w:rPr>
      <w:rFonts w:ascii="Arial"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6073"/>
    <w:pPr>
      <w:tabs>
        <w:tab w:val="center" w:pos="4320"/>
        <w:tab w:val="right" w:pos="8640"/>
      </w:tabs>
    </w:pPr>
  </w:style>
  <w:style w:type="paragraph" w:styleId="Salutation">
    <w:name w:val="Salutation"/>
    <w:basedOn w:val="Normal"/>
    <w:next w:val="Normal"/>
    <w:rsid w:val="00196073"/>
    <w:pPr>
      <w:spacing w:before="220" w:after="220" w:line="220" w:lineRule="atLeast"/>
    </w:pPr>
  </w:style>
  <w:style w:type="paragraph" w:customStyle="1" w:styleId="ReferenceLine">
    <w:name w:val="Reference Line"/>
    <w:basedOn w:val="Normal"/>
    <w:next w:val="Normal"/>
    <w:rsid w:val="00196073"/>
    <w:pPr>
      <w:spacing w:after="220" w:line="220" w:lineRule="atLeast"/>
    </w:pPr>
  </w:style>
  <w:style w:type="paragraph" w:styleId="Header">
    <w:name w:val="header"/>
    <w:basedOn w:val="Normal"/>
    <w:rsid w:val="00893F50"/>
    <w:pPr>
      <w:tabs>
        <w:tab w:val="center" w:pos="4320"/>
        <w:tab w:val="right" w:pos="8640"/>
      </w:tabs>
    </w:pPr>
  </w:style>
  <w:style w:type="character" w:styleId="PageNumber">
    <w:name w:val="page number"/>
    <w:basedOn w:val="DefaultParagraphFont"/>
    <w:rsid w:val="00893F50"/>
  </w:style>
  <w:style w:type="character" w:styleId="CommentReference">
    <w:name w:val="annotation reference"/>
    <w:uiPriority w:val="99"/>
    <w:unhideWhenUsed/>
    <w:rsid w:val="00A747F5"/>
    <w:rPr>
      <w:sz w:val="16"/>
      <w:szCs w:val="16"/>
    </w:rPr>
  </w:style>
  <w:style w:type="paragraph" w:styleId="CommentText">
    <w:name w:val="annotation text"/>
    <w:basedOn w:val="Normal"/>
    <w:link w:val="CommentTextChar"/>
    <w:semiHidden/>
    <w:unhideWhenUsed/>
    <w:rsid w:val="00A747F5"/>
    <w:rPr>
      <w:rFonts w:cs="Times New Roman"/>
      <w:spacing w:val="0"/>
      <w:lang w:val="x-none" w:eastAsia="x-none"/>
    </w:rPr>
  </w:style>
  <w:style w:type="character" w:customStyle="1" w:styleId="CommentTextChar">
    <w:name w:val="Comment Text Char"/>
    <w:link w:val="CommentText"/>
    <w:semiHidden/>
    <w:rsid w:val="00A747F5"/>
    <w:rPr>
      <w:rFonts w:ascii="Arial" w:hAnsi="Arial"/>
      <w:lang w:val="x-none" w:eastAsia="x-none"/>
    </w:rPr>
  </w:style>
  <w:style w:type="paragraph" w:styleId="BalloonText">
    <w:name w:val="Balloon Text"/>
    <w:basedOn w:val="Normal"/>
    <w:link w:val="BalloonTextChar"/>
    <w:uiPriority w:val="99"/>
    <w:semiHidden/>
    <w:unhideWhenUsed/>
    <w:rsid w:val="00A747F5"/>
    <w:rPr>
      <w:rFonts w:ascii="Tahoma" w:hAnsi="Tahoma" w:cs="Tahoma"/>
      <w:sz w:val="16"/>
      <w:szCs w:val="16"/>
    </w:rPr>
  </w:style>
  <w:style w:type="character" w:customStyle="1" w:styleId="BalloonTextChar">
    <w:name w:val="Balloon Text Char"/>
    <w:link w:val="BalloonText"/>
    <w:uiPriority w:val="99"/>
    <w:semiHidden/>
    <w:rsid w:val="00A747F5"/>
    <w:rPr>
      <w:rFonts w:ascii="Tahoma" w:hAnsi="Tahoma" w:cs="Tahoma"/>
      <w:spacing w:val="-5"/>
      <w:sz w:val="16"/>
      <w:szCs w:val="16"/>
    </w:rPr>
  </w:style>
  <w:style w:type="paragraph" w:styleId="CommentSubject">
    <w:name w:val="annotation subject"/>
    <w:basedOn w:val="CommentText"/>
    <w:next w:val="CommentText"/>
    <w:link w:val="CommentSubjectChar"/>
    <w:uiPriority w:val="99"/>
    <w:semiHidden/>
    <w:unhideWhenUsed/>
    <w:rsid w:val="008A2535"/>
    <w:pPr>
      <w:jc w:val="both"/>
    </w:pPr>
    <w:rPr>
      <w:rFonts w:cs="Arial"/>
      <w:b/>
      <w:bCs/>
      <w:spacing w:val="-5"/>
      <w:lang w:val="en-US" w:eastAsia="en-US"/>
    </w:rPr>
  </w:style>
  <w:style w:type="character" w:customStyle="1" w:styleId="CommentSubjectChar">
    <w:name w:val="Comment Subject Char"/>
    <w:link w:val="CommentSubject"/>
    <w:uiPriority w:val="99"/>
    <w:semiHidden/>
    <w:rsid w:val="008A2535"/>
    <w:rPr>
      <w:rFonts w:ascii="Arial" w:hAnsi="Arial" w:cs="Arial"/>
      <w:b/>
      <w:bCs/>
      <w:spacing w:val="-5"/>
      <w:lang w:val="x-none" w:eastAsia="x-none"/>
    </w:rPr>
  </w:style>
  <w:style w:type="paragraph" w:styleId="NormalWeb">
    <w:name w:val="Normal (Web)"/>
    <w:basedOn w:val="Normal"/>
    <w:uiPriority w:val="99"/>
    <w:semiHidden/>
    <w:unhideWhenUsed/>
    <w:rsid w:val="008A2535"/>
    <w:pPr>
      <w:spacing w:before="100" w:beforeAutospacing="1" w:after="100" w:afterAutospacing="1"/>
    </w:pPr>
    <w:rPr>
      <w:rFonts w:ascii="Times New Roman" w:hAnsi="Times New Roman" w:cs="Times New Roman"/>
      <w:spacing w:val="0"/>
      <w:sz w:val="24"/>
      <w:szCs w:val="24"/>
    </w:rPr>
  </w:style>
  <w:style w:type="character" w:styleId="Hyperlink">
    <w:name w:val="Hyperlink"/>
    <w:basedOn w:val="DefaultParagraphFont"/>
    <w:uiPriority w:val="99"/>
    <w:unhideWhenUsed/>
    <w:rsid w:val="00FC20AA"/>
    <w:rPr>
      <w:color w:val="0000FF" w:themeColor="hyperlink"/>
      <w:u w:val="single"/>
    </w:rPr>
  </w:style>
  <w:style w:type="character" w:styleId="FollowedHyperlink">
    <w:name w:val="FollowedHyperlink"/>
    <w:basedOn w:val="DefaultParagraphFont"/>
    <w:uiPriority w:val="99"/>
    <w:semiHidden/>
    <w:unhideWhenUsed/>
    <w:rsid w:val="00525183"/>
    <w:rPr>
      <w:color w:val="800080" w:themeColor="followedHyperlink"/>
      <w:u w:val="single"/>
    </w:rPr>
  </w:style>
  <w:style w:type="paragraph" w:styleId="ListParagraph">
    <w:name w:val="List Paragraph"/>
    <w:basedOn w:val="Normal"/>
    <w:uiPriority w:val="34"/>
    <w:qFormat/>
    <w:rsid w:val="005719A8"/>
    <w:pPr>
      <w:ind w:left="720"/>
      <w:contextualSpacing/>
    </w:pPr>
  </w:style>
  <w:style w:type="character" w:styleId="UnresolvedMention">
    <w:name w:val="Unresolved Mention"/>
    <w:basedOn w:val="DefaultParagraphFont"/>
    <w:uiPriority w:val="99"/>
    <w:semiHidden/>
    <w:unhideWhenUsed/>
    <w:rsid w:val="00A04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356">
      <w:bodyDiv w:val="1"/>
      <w:marLeft w:val="0"/>
      <w:marRight w:val="0"/>
      <w:marTop w:val="0"/>
      <w:marBottom w:val="0"/>
      <w:divBdr>
        <w:top w:val="none" w:sz="0" w:space="0" w:color="auto"/>
        <w:left w:val="none" w:sz="0" w:space="0" w:color="auto"/>
        <w:bottom w:val="none" w:sz="0" w:space="0" w:color="auto"/>
        <w:right w:val="none" w:sz="0" w:space="0" w:color="auto"/>
      </w:divBdr>
      <w:divsChild>
        <w:div w:id="415830394">
          <w:marLeft w:val="0"/>
          <w:marRight w:val="0"/>
          <w:marTop w:val="0"/>
          <w:marBottom w:val="0"/>
          <w:divBdr>
            <w:top w:val="none" w:sz="0" w:space="0" w:color="auto"/>
            <w:left w:val="none" w:sz="0" w:space="0" w:color="auto"/>
            <w:bottom w:val="none" w:sz="0" w:space="0" w:color="auto"/>
            <w:right w:val="none" w:sz="0" w:space="0" w:color="auto"/>
          </w:divBdr>
          <w:divsChild>
            <w:div w:id="1175262710">
              <w:marLeft w:val="0"/>
              <w:marRight w:val="0"/>
              <w:marTop w:val="0"/>
              <w:marBottom w:val="0"/>
              <w:divBdr>
                <w:top w:val="none" w:sz="0" w:space="0" w:color="auto"/>
                <w:left w:val="none" w:sz="0" w:space="0" w:color="auto"/>
                <w:bottom w:val="none" w:sz="0" w:space="0" w:color="auto"/>
                <w:right w:val="none" w:sz="0" w:space="0" w:color="auto"/>
              </w:divBdr>
              <w:divsChild>
                <w:div w:id="1543000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17355776">
      <w:bodyDiv w:val="1"/>
      <w:marLeft w:val="0"/>
      <w:marRight w:val="0"/>
      <w:marTop w:val="0"/>
      <w:marBottom w:val="0"/>
      <w:divBdr>
        <w:top w:val="none" w:sz="0" w:space="0" w:color="auto"/>
        <w:left w:val="none" w:sz="0" w:space="0" w:color="auto"/>
        <w:bottom w:val="none" w:sz="0" w:space="0" w:color="auto"/>
        <w:right w:val="none" w:sz="0" w:space="0" w:color="auto"/>
      </w:divBdr>
    </w:div>
    <w:div w:id="20494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wa-404/section-404-permit-progr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w.senate.gov/river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ce.army.mil/Portals/2/docs/civilworks/regulatory/cwa_guide/jd_guidebook_051207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ace.army.mil/Portals/2/docs/civilworks/regulatory/cwa_guide/app_d_traditional_navigable_waters.pdf" TargetMode="External"/><Relationship Id="rId4" Type="http://schemas.openxmlformats.org/officeDocument/2006/relationships/settings" Target="settings.xml"/><Relationship Id="rId9" Type="http://schemas.openxmlformats.org/officeDocument/2006/relationships/hyperlink" Target="https://www.epa.gov/cwa-404/section-10-rivers-and-harbors-appropriation-act-189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0F9A-5F89-4F23-9481-40E4C720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Article One: Introduction to this Manual:</vt:lpstr>
    </vt:vector>
  </TitlesOfParts>
  <Company>EOP</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One: Introduction to this Manual:</dc:title>
  <dc:creator>Palmer - JR Meyer</dc:creator>
  <cp:lastModifiedBy>Reeves, Ellen</cp:lastModifiedBy>
  <cp:revision>3</cp:revision>
  <cp:lastPrinted>2013-03-13T14:01:00Z</cp:lastPrinted>
  <dcterms:created xsi:type="dcterms:W3CDTF">2018-03-21T12:44:00Z</dcterms:created>
  <dcterms:modified xsi:type="dcterms:W3CDTF">2023-01-31T22:37:00Z</dcterms:modified>
</cp:coreProperties>
</file>